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BAA7A" w14:textId="1E426B73" w:rsidR="00E170DB" w:rsidRPr="00BE0974" w:rsidRDefault="00E170DB" w:rsidP="00C67A14">
      <w:pPr>
        <w:tabs>
          <w:tab w:val="left" w:pos="3524"/>
          <w:tab w:val="right" w:pos="8504"/>
        </w:tabs>
        <w:spacing w:after="0" w:line="240" w:lineRule="auto"/>
        <w:jc w:val="right"/>
        <w:rPr>
          <w:rFonts w:ascii="Calibri" w:eastAsia="Times New Roman" w:hAnsi="Calibri" w:cs="Calibri"/>
          <w:b/>
          <w:bCs/>
          <w:i/>
          <w:iCs/>
          <w:sz w:val="24"/>
          <w:szCs w:val="24"/>
          <w:lang w:eastAsia="es-ES"/>
        </w:rPr>
      </w:pPr>
      <w:r w:rsidRPr="00BE0974">
        <w:rPr>
          <w:rFonts w:ascii="Calibri" w:eastAsia="Times New Roman" w:hAnsi="Calibri" w:cs="Calibri"/>
          <w:b/>
          <w:bCs/>
          <w:i/>
          <w:iCs/>
          <w:sz w:val="24"/>
          <w:szCs w:val="24"/>
          <w:lang w:eastAsia="es-ES"/>
        </w:rPr>
        <w:t xml:space="preserve">       IEQROO/C</w:t>
      </w:r>
      <w:r w:rsidR="002832A3" w:rsidRPr="00BE0974">
        <w:rPr>
          <w:rFonts w:ascii="Calibri" w:eastAsia="Times New Roman" w:hAnsi="Calibri" w:cs="Calibri"/>
          <w:b/>
          <w:bCs/>
          <w:i/>
          <w:iCs/>
          <w:sz w:val="24"/>
          <w:szCs w:val="24"/>
          <w:lang w:eastAsia="es-ES"/>
        </w:rPr>
        <w:t>G</w:t>
      </w:r>
      <w:r w:rsidRPr="00BE0974">
        <w:rPr>
          <w:rFonts w:ascii="Calibri" w:eastAsia="Times New Roman" w:hAnsi="Calibri" w:cs="Calibri"/>
          <w:b/>
          <w:bCs/>
          <w:i/>
          <w:iCs/>
          <w:sz w:val="24"/>
          <w:szCs w:val="24"/>
          <w:lang w:eastAsia="es-ES"/>
        </w:rPr>
        <w:t>/A-</w:t>
      </w:r>
      <w:r w:rsidR="00DF3A5C" w:rsidRPr="00BE0974">
        <w:rPr>
          <w:rFonts w:ascii="Calibri" w:eastAsia="Times New Roman" w:hAnsi="Calibri" w:cs="Calibri"/>
          <w:b/>
          <w:bCs/>
          <w:i/>
          <w:iCs/>
          <w:sz w:val="24"/>
          <w:szCs w:val="24"/>
          <w:lang w:eastAsia="es-ES"/>
        </w:rPr>
        <w:t>__</w:t>
      </w:r>
      <w:r w:rsidR="00761167" w:rsidRPr="00BE0974">
        <w:rPr>
          <w:rFonts w:ascii="Calibri" w:eastAsia="Times New Roman" w:hAnsi="Calibri" w:cs="Calibri"/>
          <w:b/>
          <w:bCs/>
          <w:i/>
          <w:iCs/>
          <w:sz w:val="24"/>
          <w:szCs w:val="24"/>
          <w:lang w:eastAsia="es-ES"/>
        </w:rPr>
        <w:t>-2021</w:t>
      </w:r>
    </w:p>
    <w:p w14:paraId="063F880E" w14:textId="272AA461" w:rsidR="007B254F" w:rsidRPr="00BE0974" w:rsidRDefault="007B254F" w:rsidP="00C67A14">
      <w:pPr>
        <w:tabs>
          <w:tab w:val="left" w:pos="284"/>
        </w:tabs>
        <w:spacing w:line="240" w:lineRule="auto"/>
        <w:jc w:val="both"/>
        <w:rPr>
          <w:rFonts w:cstheme="minorHAnsi"/>
          <w:b/>
          <w:bCs/>
          <w:sz w:val="24"/>
          <w:szCs w:val="24"/>
        </w:rPr>
      </w:pPr>
    </w:p>
    <w:p w14:paraId="619C7F63" w14:textId="002FD6F7" w:rsidR="00930AA5" w:rsidRPr="00BE0974" w:rsidRDefault="0078391A" w:rsidP="00761167">
      <w:pPr>
        <w:tabs>
          <w:tab w:val="left" w:pos="284"/>
        </w:tabs>
        <w:spacing w:after="0" w:line="240" w:lineRule="auto"/>
        <w:ind w:right="-143"/>
        <w:jc w:val="both"/>
        <w:rPr>
          <w:rFonts w:cs="Calibri"/>
          <w:b/>
          <w:bCs/>
          <w:sz w:val="24"/>
          <w:szCs w:val="24"/>
          <w:bdr w:val="none" w:sz="0" w:space="0" w:color="auto" w:frame="1"/>
          <w:shd w:val="clear" w:color="auto" w:fill="FFFFFF"/>
          <w:lang w:val="es-ES"/>
        </w:rPr>
      </w:pPr>
      <w:r w:rsidRPr="00BE0974">
        <w:rPr>
          <w:rFonts w:cs="Calibri"/>
          <w:b/>
          <w:bCs/>
          <w:sz w:val="24"/>
          <w:szCs w:val="24"/>
          <w:bdr w:val="none" w:sz="0" w:space="0" w:color="auto" w:frame="1"/>
          <w:shd w:val="clear" w:color="auto" w:fill="FFFFFF"/>
          <w:lang w:val="es-ES"/>
        </w:rPr>
        <w:t xml:space="preserve">PROYECTO DE ACUERDO DEL CONSEJO GENERAL DEL INSTITUTO ELECTORAL DE QUINTANA ROO, POR MEDIO DEL CUAL SE </w:t>
      </w:r>
      <w:r w:rsidR="00DC4478" w:rsidRPr="00BE0974">
        <w:rPr>
          <w:rFonts w:cs="Calibri"/>
          <w:b/>
          <w:bCs/>
          <w:sz w:val="24"/>
          <w:szCs w:val="24"/>
          <w:bdr w:val="none" w:sz="0" w:space="0" w:color="auto" w:frame="1"/>
          <w:shd w:val="clear" w:color="auto" w:fill="FFFFFF"/>
          <w:lang w:val="es-ES"/>
        </w:rPr>
        <w:t>DA CUMPLIMIENTO</w:t>
      </w:r>
      <w:r w:rsidRPr="00BE0974">
        <w:rPr>
          <w:rFonts w:cs="Calibri"/>
          <w:b/>
          <w:bCs/>
          <w:sz w:val="24"/>
          <w:szCs w:val="24"/>
          <w:bdr w:val="none" w:sz="0" w:space="0" w:color="auto" w:frame="1"/>
          <w:shd w:val="clear" w:color="auto" w:fill="FFFFFF"/>
          <w:lang w:val="es-ES"/>
        </w:rPr>
        <w:t xml:space="preserve"> </w:t>
      </w:r>
      <w:r w:rsidR="008411D1" w:rsidRPr="00BE0974">
        <w:rPr>
          <w:rFonts w:cs="Calibri"/>
          <w:b/>
          <w:bCs/>
          <w:sz w:val="24"/>
          <w:szCs w:val="24"/>
          <w:bdr w:val="none" w:sz="0" w:space="0" w:color="auto" w:frame="1"/>
          <w:shd w:val="clear" w:color="auto" w:fill="FFFFFF"/>
          <w:lang w:val="es-ES"/>
        </w:rPr>
        <w:t>A LA SENTENCIA RECAIDA EN EL EXPEDIENTE SX-JDC-954/2021 DE</w:t>
      </w:r>
      <w:r w:rsidRPr="00BE0974">
        <w:rPr>
          <w:rFonts w:cs="Calibri"/>
          <w:b/>
          <w:bCs/>
          <w:sz w:val="24"/>
          <w:szCs w:val="24"/>
          <w:bdr w:val="none" w:sz="0" w:space="0" w:color="auto" w:frame="1"/>
          <w:shd w:val="clear" w:color="auto" w:fill="FFFFFF"/>
          <w:lang w:val="es-ES"/>
        </w:rPr>
        <w:t xml:space="preserve"> </w:t>
      </w:r>
      <w:r w:rsidR="00FA0248" w:rsidRPr="00BE0974">
        <w:rPr>
          <w:rFonts w:cs="Calibri"/>
          <w:b/>
          <w:bCs/>
          <w:sz w:val="24"/>
          <w:szCs w:val="24"/>
          <w:bdr w:val="none" w:sz="0" w:space="0" w:color="auto" w:frame="1"/>
          <w:shd w:val="clear" w:color="auto" w:fill="FFFFFF"/>
          <w:lang w:val="es-ES"/>
        </w:rPr>
        <w:t>LA SALA REGIONAL DEL TRI</w:t>
      </w:r>
      <w:r w:rsidR="00F8435C" w:rsidRPr="00BE0974">
        <w:rPr>
          <w:rFonts w:cs="Calibri"/>
          <w:b/>
          <w:bCs/>
          <w:sz w:val="24"/>
          <w:szCs w:val="24"/>
          <w:bdr w:val="none" w:sz="0" w:space="0" w:color="auto" w:frame="1"/>
          <w:shd w:val="clear" w:color="auto" w:fill="FFFFFF"/>
          <w:lang w:val="es-ES"/>
        </w:rPr>
        <w:t xml:space="preserve">BUNAL ELECTORAL </w:t>
      </w:r>
      <w:r w:rsidR="00DC4478" w:rsidRPr="00BE0974">
        <w:rPr>
          <w:rFonts w:cs="Calibri"/>
          <w:b/>
          <w:bCs/>
          <w:sz w:val="24"/>
          <w:szCs w:val="24"/>
          <w:bdr w:val="none" w:sz="0" w:space="0" w:color="auto" w:frame="1"/>
          <w:shd w:val="clear" w:color="auto" w:fill="FFFFFF"/>
          <w:lang w:val="es-ES"/>
        </w:rPr>
        <w:t>DEL PODER JUDICIAL DE LA FEDERACIÓN</w:t>
      </w:r>
      <w:r w:rsidR="00F8435C" w:rsidRPr="00BE0974">
        <w:rPr>
          <w:rFonts w:cs="Calibri"/>
          <w:b/>
          <w:bCs/>
          <w:sz w:val="24"/>
          <w:szCs w:val="24"/>
          <w:bdr w:val="none" w:sz="0" w:space="0" w:color="auto" w:frame="1"/>
          <w:shd w:val="clear" w:color="auto" w:fill="FFFFFF"/>
          <w:lang w:val="es-ES"/>
        </w:rPr>
        <w:t>,</w:t>
      </w:r>
      <w:r w:rsidR="00FA0248" w:rsidRPr="00BE0974">
        <w:rPr>
          <w:rFonts w:cs="Calibri"/>
          <w:b/>
          <w:bCs/>
          <w:sz w:val="24"/>
          <w:szCs w:val="24"/>
          <w:bdr w:val="none" w:sz="0" w:space="0" w:color="auto" w:frame="1"/>
          <w:shd w:val="clear" w:color="auto" w:fill="FFFFFF"/>
          <w:lang w:val="es-ES"/>
        </w:rPr>
        <w:t xml:space="preserve"> TERCERA CIRCUNSCRIPCIÓN PLURINOMINAL ELECTORAL FEDERAL</w:t>
      </w:r>
      <w:r w:rsidR="00930AA5" w:rsidRPr="00BE0974">
        <w:rPr>
          <w:rFonts w:cs="Calibri"/>
          <w:b/>
          <w:bCs/>
          <w:sz w:val="24"/>
          <w:szCs w:val="24"/>
          <w:bdr w:val="none" w:sz="0" w:space="0" w:color="auto" w:frame="1"/>
          <w:shd w:val="clear" w:color="auto" w:fill="FFFFFF"/>
          <w:lang w:val="es-ES"/>
        </w:rPr>
        <w:t>.</w:t>
      </w:r>
    </w:p>
    <w:p w14:paraId="5B43A476" w14:textId="77777777" w:rsidR="00930AA5" w:rsidRPr="00BE0974" w:rsidRDefault="00930AA5" w:rsidP="00761167">
      <w:pPr>
        <w:tabs>
          <w:tab w:val="left" w:pos="284"/>
        </w:tabs>
        <w:spacing w:after="0" w:line="240" w:lineRule="auto"/>
        <w:ind w:right="-143"/>
        <w:jc w:val="both"/>
        <w:rPr>
          <w:rFonts w:cs="Calibri"/>
          <w:b/>
          <w:bCs/>
          <w:sz w:val="24"/>
          <w:szCs w:val="24"/>
          <w:bdr w:val="none" w:sz="0" w:space="0" w:color="auto" w:frame="1"/>
          <w:shd w:val="clear" w:color="auto" w:fill="FFFFFF"/>
          <w:lang w:val="es-ES"/>
        </w:rPr>
      </w:pPr>
    </w:p>
    <w:p w14:paraId="097618F7" w14:textId="77777777" w:rsidR="00761167" w:rsidRPr="00BE0974" w:rsidRDefault="00761167" w:rsidP="00761167">
      <w:pPr>
        <w:tabs>
          <w:tab w:val="left" w:pos="284"/>
        </w:tabs>
        <w:spacing w:after="0" w:line="240" w:lineRule="auto"/>
        <w:ind w:right="-143" w:hanging="142"/>
        <w:jc w:val="center"/>
        <w:rPr>
          <w:rFonts w:eastAsia="Times New Roman" w:cs="Calibri"/>
          <w:b/>
          <w:bCs/>
          <w:sz w:val="24"/>
          <w:szCs w:val="24"/>
          <w:lang w:val="es-ES" w:eastAsia="es-ES"/>
        </w:rPr>
      </w:pPr>
      <w:r w:rsidRPr="00BE0974">
        <w:rPr>
          <w:rFonts w:eastAsia="Times New Roman" w:cs="Calibri"/>
          <w:b/>
          <w:bCs/>
          <w:sz w:val="24"/>
          <w:szCs w:val="24"/>
          <w:lang w:val="es-ES" w:eastAsia="es-ES"/>
        </w:rPr>
        <w:t>ANTECEDENTES</w:t>
      </w:r>
    </w:p>
    <w:p w14:paraId="65A1D4B0" w14:textId="77777777" w:rsidR="00761167" w:rsidRPr="00BE0974" w:rsidRDefault="00761167" w:rsidP="00761167">
      <w:pPr>
        <w:widowControl w:val="0"/>
        <w:tabs>
          <w:tab w:val="left" w:pos="0"/>
          <w:tab w:val="left" w:pos="284"/>
        </w:tabs>
        <w:autoSpaceDE w:val="0"/>
        <w:autoSpaceDN w:val="0"/>
        <w:spacing w:after="0" w:line="240" w:lineRule="auto"/>
        <w:ind w:right="-143" w:hanging="142"/>
        <w:jc w:val="both"/>
        <w:rPr>
          <w:rFonts w:cs="Calibri"/>
          <w:sz w:val="24"/>
          <w:szCs w:val="24"/>
        </w:rPr>
      </w:pPr>
    </w:p>
    <w:p w14:paraId="7F9E474A" w14:textId="13142CD8" w:rsidR="00DC4478" w:rsidRPr="00BE0974" w:rsidRDefault="00DC4478" w:rsidP="00DC4478">
      <w:pPr>
        <w:pStyle w:val="Prrafodelista"/>
        <w:widowControl w:val="0"/>
        <w:numPr>
          <w:ilvl w:val="0"/>
          <w:numId w:val="16"/>
        </w:numPr>
        <w:tabs>
          <w:tab w:val="left" w:pos="0"/>
        </w:tabs>
        <w:autoSpaceDE w:val="0"/>
        <w:autoSpaceDN w:val="0"/>
        <w:spacing w:after="0" w:line="240" w:lineRule="auto"/>
        <w:ind w:left="0" w:right="-143" w:hanging="142"/>
        <w:contextualSpacing w:val="0"/>
        <w:jc w:val="both"/>
        <w:rPr>
          <w:rFonts w:cs="Calibri"/>
          <w:sz w:val="24"/>
          <w:szCs w:val="24"/>
        </w:rPr>
      </w:pPr>
      <w:r w:rsidRPr="00BE0974">
        <w:rPr>
          <w:rFonts w:cs="Calibri"/>
          <w:sz w:val="24"/>
          <w:szCs w:val="24"/>
        </w:rPr>
        <w:t xml:space="preserve">El diecisiete de diciembre de dos mil veinte, </w:t>
      </w:r>
      <w:r w:rsidR="00E50A0F" w:rsidRPr="00BE0974">
        <w:rPr>
          <w:rFonts w:eastAsia="Times New Roman" w:cs="Calibri"/>
          <w:bCs/>
          <w:sz w:val="24"/>
          <w:szCs w:val="24"/>
          <w:lang w:val="es-ES" w:eastAsia="es-ES"/>
        </w:rPr>
        <w:t>el Consejo General del Instituto Electoral de Quintana Roo, (en adelante el Consejo General)</w:t>
      </w:r>
      <w:r w:rsidRPr="00BE0974">
        <w:rPr>
          <w:rFonts w:cs="Calibri"/>
          <w:sz w:val="24"/>
          <w:szCs w:val="24"/>
        </w:rPr>
        <w:t xml:space="preserve">, mediante el Acuerdo </w:t>
      </w:r>
      <w:r w:rsidRPr="00BE0974">
        <w:rPr>
          <w:rFonts w:cs="Calibri"/>
          <w:i/>
          <w:sz w:val="24"/>
          <w:szCs w:val="24"/>
        </w:rPr>
        <w:t>IEQROO/CG/A-061-2020</w:t>
      </w:r>
      <w:r w:rsidRPr="00BE0974">
        <w:rPr>
          <w:rFonts w:cs="Calibri"/>
          <w:sz w:val="24"/>
          <w:szCs w:val="24"/>
        </w:rPr>
        <w:t xml:space="preserve"> aprobó los </w:t>
      </w:r>
      <w:r w:rsidRPr="00BE0974">
        <w:rPr>
          <w:rFonts w:cs="Calibri"/>
          <w:i/>
          <w:sz w:val="24"/>
          <w:szCs w:val="24"/>
        </w:rPr>
        <w:t xml:space="preserve">“Criterios y procedimientos a seguir en materia de paridad en el registro de candidaturas en las planillas que postulen para la elección de integrantes de Ayuntamientos en el Proceso </w:t>
      </w:r>
      <w:r w:rsidR="00E50A0F" w:rsidRPr="00BE0974">
        <w:rPr>
          <w:rFonts w:cs="Calibri"/>
          <w:i/>
          <w:sz w:val="24"/>
          <w:szCs w:val="24"/>
        </w:rPr>
        <w:t>E</w:t>
      </w:r>
      <w:r w:rsidRPr="00BE0974">
        <w:rPr>
          <w:rFonts w:cs="Calibri"/>
          <w:i/>
          <w:sz w:val="24"/>
          <w:szCs w:val="24"/>
        </w:rPr>
        <w:t xml:space="preserve">lectoral </w:t>
      </w:r>
      <w:r w:rsidR="00E50A0F" w:rsidRPr="00BE0974">
        <w:rPr>
          <w:rFonts w:cs="Calibri"/>
          <w:i/>
          <w:sz w:val="24"/>
          <w:szCs w:val="24"/>
        </w:rPr>
        <w:t>L</w:t>
      </w:r>
      <w:r w:rsidRPr="00BE0974">
        <w:rPr>
          <w:rFonts w:cs="Calibri"/>
          <w:i/>
          <w:sz w:val="24"/>
          <w:szCs w:val="24"/>
        </w:rPr>
        <w:t>ocal 2020-2021”,</w:t>
      </w:r>
      <w:r w:rsidRPr="00BE0974">
        <w:rPr>
          <w:rFonts w:cs="Calibri"/>
          <w:sz w:val="24"/>
          <w:szCs w:val="24"/>
        </w:rPr>
        <w:t xml:space="preserve"> (en adelante Criterios paridad).</w:t>
      </w:r>
    </w:p>
    <w:p w14:paraId="69565751" w14:textId="78E1E8DB" w:rsidR="00DC4478" w:rsidRPr="00BE0974" w:rsidRDefault="00DC4478" w:rsidP="00DC4478">
      <w:pPr>
        <w:pStyle w:val="Prrafodelista"/>
        <w:widowControl w:val="0"/>
        <w:tabs>
          <w:tab w:val="left" w:pos="0"/>
          <w:tab w:val="left" w:pos="284"/>
        </w:tabs>
        <w:autoSpaceDE w:val="0"/>
        <w:autoSpaceDN w:val="0"/>
        <w:spacing w:after="0" w:line="240" w:lineRule="auto"/>
        <w:ind w:left="0" w:right="-143"/>
        <w:contextualSpacing w:val="0"/>
        <w:jc w:val="both"/>
        <w:rPr>
          <w:rFonts w:eastAsia="Times New Roman" w:cs="Calibri"/>
          <w:bCs/>
          <w:sz w:val="24"/>
          <w:szCs w:val="24"/>
          <w:lang w:val="es-ES" w:eastAsia="es-ES"/>
        </w:rPr>
      </w:pPr>
    </w:p>
    <w:p w14:paraId="40F74B77" w14:textId="77777777" w:rsidR="00DC4478" w:rsidRPr="00BE0974" w:rsidRDefault="00DC4478" w:rsidP="00DC4478">
      <w:pPr>
        <w:pStyle w:val="Prrafodelista"/>
        <w:widowControl w:val="0"/>
        <w:numPr>
          <w:ilvl w:val="0"/>
          <w:numId w:val="16"/>
        </w:numPr>
        <w:tabs>
          <w:tab w:val="left" w:pos="0"/>
        </w:tabs>
        <w:autoSpaceDE w:val="0"/>
        <w:autoSpaceDN w:val="0"/>
        <w:spacing w:after="0" w:line="240" w:lineRule="auto"/>
        <w:ind w:left="0" w:right="-143" w:hanging="142"/>
        <w:contextualSpacing w:val="0"/>
        <w:jc w:val="both"/>
        <w:rPr>
          <w:rFonts w:cs="Calibri"/>
          <w:sz w:val="24"/>
          <w:szCs w:val="24"/>
        </w:rPr>
      </w:pPr>
      <w:r w:rsidRPr="00BE0974">
        <w:rPr>
          <w:rFonts w:cs="Calibri"/>
          <w:sz w:val="24"/>
          <w:szCs w:val="24"/>
        </w:rPr>
        <w:t xml:space="preserve">El diecisiete de diciembre de dos mil veinte, el Consejo General, mediante el Acuerdo </w:t>
      </w:r>
      <w:r w:rsidRPr="00BE0974">
        <w:rPr>
          <w:rFonts w:cs="Calibri"/>
          <w:i/>
          <w:sz w:val="24"/>
          <w:szCs w:val="24"/>
        </w:rPr>
        <w:t>IEQROO/CG/A-071-2020</w:t>
      </w:r>
      <w:r w:rsidRPr="00BE0974">
        <w:rPr>
          <w:rFonts w:cs="Calibri"/>
          <w:sz w:val="24"/>
          <w:szCs w:val="24"/>
        </w:rPr>
        <w:t xml:space="preserve"> aprobó los </w:t>
      </w:r>
      <w:r w:rsidRPr="00BE0974">
        <w:rPr>
          <w:rFonts w:cs="Calibri"/>
          <w:i/>
          <w:sz w:val="24"/>
          <w:szCs w:val="24"/>
        </w:rPr>
        <w:t>“Criterios aplicables para el registro de candidaturas a integrantes de los ayuntamientos para el proceso electoral local 2020-2021”</w:t>
      </w:r>
      <w:r w:rsidRPr="00BE0974">
        <w:rPr>
          <w:rFonts w:cs="Calibri"/>
          <w:sz w:val="24"/>
          <w:szCs w:val="24"/>
        </w:rPr>
        <w:t xml:space="preserve"> (en adelante Criterios de registro).</w:t>
      </w:r>
    </w:p>
    <w:p w14:paraId="0DAF198A" w14:textId="77777777" w:rsidR="00DC4478" w:rsidRPr="00BE0974" w:rsidRDefault="00DC4478" w:rsidP="00DC4478">
      <w:pPr>
        <w:pStyle w:val="Prrafodelista"/>
        <w:widowControl w:val="0"/>
        <w:tabs>
          <w:tab w:val="left" w:pos="0"/>
          <w:tab w:val="left" w:pos="284"/>
        </w:tabs>
        <w:autoSpaceDE w:val="0"/>
        <w:autoSpaceDN w:val="0"/>
        <w:spacing w:after="0" w:line="240" w:lineRule="auto"/>
        <w:ind w:left="0" w:right="-143"/>
        <w:contextualSpacing w:val="0"/>
        <w:jc w:val="both"/>
        <w:rPr>
          <w:rFonts w:eastAsia="Times New Roman" w:cs="Calibri"/>
          <w:bCs/>
          <w:sz w:val="24"/>
          <w:szCs w:val="24"/>
          <w:lang w:val="es-ES" w:eastAsia="es-ES"/>
        </w:rPr>
      </w:pPr>
    </w:p>
    <w:p w14:paraId="29AA5F89" w14:textId="0E4CBF5A" w:rsidR="00761167" w:rsidRPr="00BE0974" w:rsidRDefault="0078391A" w:rsidP="00F02789">
      <w:pPr>
        <w:pStyle w:val="Prrafodelista"/>
        <w:widowControl w:val="0"/>
        <w:numPr>
          <w:ilvl w:val="0"/>
          <w:numId w:val="16"/>
        </w:numPr>
        <w:tabs>
          <w:tab w:val="left" w:pos="0"/>
          <w:tab w:val="left" w:pos="284"/>
        </w:tabs>
        <w:autoSpaceDE w:val="0"/>
        <w:autoSpaceDN w:val="0"/>
        <w:spacing w:after="0" w:line="240" w:lineRule="auto"/>
        <w:ind w:left="0" w:right="-143" w:hanging="142"/>
        <w:contextualSpacing w:val="0"/>
        <w:jc w:val="both"/>
        <w:rPr>
          <w:rFonts w:eastAsia="Times New Roman" w:cs="Calibri"/>
          <w:bCs/>
          <w:sz w:val="24"/>
          <w:szCs w:val="24"/>
          <w:lang w:val="es-ES" w:eastAsia="es-ES"/>
        </w:rPr>
      </w:pPr>
      <w:r w:rsidRPr="00BE0974">
        <w:rPr>
          <w:rFonts w:eastAsia="Times New Roman" w:cs="Calibri"/>
          <w:bCs/>
          <w:sz w:val="24"/>
          <w:szCs w:val="24"/>
          <w:lang w:val="es-ES" w:eastAsia="es-ES"/>
        </w:rPr>
        <w:t>El catorce de abril de dos mil veintiuno, el Consejo General</w:t>
      </w:r>
      <w:r w:rsidR="00E50A0F" w:rsidRPr="00BE0974">
        <w:rPr>
          <w:rFonts w:eastAsia="Times New Roman" w:cs="Calibri"/>
          <w:bCs/>
          <w:sz w:val="24"/>
          <w:szCs w:val="24"/>
          <w:lang w:val="es-ES" w:eastAsia="es-ES"/>
        </w:rPr>
        <w:t xml:space="preserve">, </w:t>
      </w:r>
      <w:r w:rsidRPr="00BE0974">
        <w:rPr>
          <w:rFonts w:eastAsia="Times New Roman" w:cs="Calibri"/>
          <w:bCs/>
          <w:sz w:val="24"/>
          <w:szCs w:val="24"/>
          <w:lang w:val="es-ES" w:eastAsia="es-ES"/>
        </w:rPr>
        <w:t xml:space="preserve">mediante Acuerdo </w:t>
      </w:r>
      <w:r w:rsidR="00DC4478" w:rsidRPr="00BE0974">
        <w:rPr>
          <w:rFonts w:eastAsia="Times New Roman"/>
          <w:bCs/>
          <w:iCs/>
          <w:sz w:val="24"/>
          <w:szCs w:val="24"/>
          <w:lang w:val="es-ES" w:eastAsia="es-ES"/>
        </w:rPr>
        <w:t>IEQROO/CG/A-11</w:t>
      </w:r>
      <w:r w:rsidRPr="00BE0974">
        <w:rPr>
          <w:rFonts w:eastAsia="Times New Roman"/>
          <w:bCs/>
          <w:iCs/>
          <w:sz w:val="24"/>
          <w:szCs w:val="24"/>
          <w:lang w:val="es-ES" w:eastAsia="es-ES"/>
        </w:rPr>
        <w:t>1-021</w:t>
      </w:r>
      <w:r w:rsidRPr="00BE0974">
        <w:rPr>
          <w:rFonts w:eastAsia="Times New Roman" w:cs="Calibri"/>
          <w:sz w:val="24"/>
          <w:szCs w:val="24"/>
          <w:lang w:val="es-ES" w:eastAsia="es-ES"/>
        </w:rPr>
        <w:t xml:space="preserve"> aprobó </w:t>
      </w:r>
      <w:r w:rsidRPr="00BE0974">
        <w:rPr>
          <w:rFonts w:ascii="Calibri" w:hAnsi="Calibri" w:cs="Calibri"/>
          <w:bCs/>
          <w:sz w:val="24"/>
          <w:szCs w:val="24"/>
        </w:rPr>
        <w:t>el registro de l</w:t>
      </w:r>
      <w:r w:rsidR="004D3667" w:rsidRPr="00BE0974">
        <w:rPr>
          <w:rFonts w:ascii="Calibri" w:hAnsi="Calibri" w:cs="Calibri"/>
          <w:bCs/>
          <w:sz w:val="24"/>
          <w:szCs w:val="24"/>
        </w:rPr>
        <w:t>a</w:t>
      </w:r>
      <w:r w:rsidRPr="00BE0974">
        <w:rPr>
          <w:rFonts w:ascii="Calibri" w:hAnsi="Calibri" w:cs="Calibri"/>
          <w:bCs/>
          <w:sz w:val="24"/>
          <w:szCs w:val="24"/>
        </w:rPr>
        <w:t xml:space="preserve"> planilla</w:t>
      </w:r>
      <w:r w:rsidR="004D3667" w:rsidRPr="00BE0974">
        <w:rPr>
          <w:rFonts w:ascii="Calibri" w:hAnsi="Calibri" w:cs="Calibri"/>
          <w:bCs/>
          <w:sz w:val="24"/>
          <w:szCs w:val="24"/>
        </w:rPr>
        <w:t xml:space="preserve"> </w:t>
      </w:r>
      <w:r w:rsidRPr="00BE0974">
        <w:rPr>
          <w:rFonts w:ascii="Calibri" w:hAnsi="Calibri" w:cs="Calibri"/>
          <w:bCs/>
          <w:sz w:val="24"/>
          <w:szCs w:val="24"/>
        </w:rPr>
        <w:t>de</w:t>
      </w:r>
      <w:r w:rsidR="004D3667" w:rsidRPr="00BE0974">
        <w:rPr>
          <w:rFonts w:ascii="Calibri" w:hAnsi="Calibri" w:cs="Calibri"/>
          <w:bCs/>
          <w:sz w:val="24"/>
          <w:szCs w:val="24"/>
        </w:rPr>
        <w:t>l municipio de</w:t>
      </w:r>
      <w:r w:rsidR="004B40AE" w:rsidRPr="00BE0974">
        <w:rPr>
          <w:rFonts w:ascii="Calibri" w:hAnsi="Calibri" w:cs="Calibri"/>
          <w:bCs/>
          <w:sz w:val="24"/>
          <w:szCs w:val="24"/>
        </w:rPr>
        <w:t xml:space="preserve"> </w:t>
      </w:r>
      <w:r w:rsidR="00FA0248" w:rsidRPr="00BE0974">
        <w:rPr>
          <w:rFonts w:ascii="Calibri" w:hAnsi="Calibri" w:cs="Calibri"/>
          <w:bCs/>
          <w:sz w:val="24"/>
          <w:szCs w:val="24"/>
        </w:rPr>
        <w:t>Othón P. Blanco</w:t>
      </w:r>
      <w:r w:rsidR="004D3667" w:rsidRPr="00BE0974">
        <w:rPr>
          <w:rFonts w:ascii="Calibri" w:hAnsi="Calibri" w:cs="Calibri"/>
          <w:bCs/>
          <w:sz w:val="24"/>
          <w:szCs w:val="24"/>
        </w:rPr>
        <w:t>, encabezada por el Ciudadano Luis Gamero Barranco</w:t>
      </w:r>
      <w:r w:rsidR="00583770" w:rsidRPr="00BE0974">
        <w:rPr>
          <w:rFonts w:ascii="Calibri" w:hAnsi="Calibri" w:cs="Calibri"/>
          <w:bCs/>
          <w:sz w:val="24"/>
          <w:szCs w:val="24"/>
        </w:rPr>
        <w:t>,</w:t>
      </w:r>
      <w:r w:rsidRPr="00BE0974">
        <w:rPr>
          <w:rFonts w:ascii="Calibri" w:hAnsi="Calibri" w:cs="Calibri"/>
          <w:bCs/>
          <w:sz w:val="24"/>
          <w:szCs w:val="24"/>
        </w:rPr>
        <w:t xml:space="preserve"> postulada</w:t>
      </w:r>
      <w:r w:rsidRPr="00BE0974">
        <w:rPr>
          <w:rFonts w:ascii="Calibri" w:hAnsi="Calibri"/>
          <w:bCs/>
          <w:sz w:val="24"/>
          <w:szCs w:val="24"/>
        </w:rPr>
        <w:t xml:space="preserve"> por </w:t>
      </w:r>
      <w:r w:rsidR="00FA0248" w:rsidRPr="00BE0974">
        <w:rPr>
          <w:rFonts w:ascii="Calibri" w:hAnsi="Calibri"/>
          <w:bCs/>
          <w:sz w:val="24"/>
          <w:szCs w:val="24"/>
        </w:rPr>
        <w:t>la Coalición “JUNTOS HAREMOS HISTORIA EN QUINTANA ROO</w:t>
      </w:r>
      <w:r w:rsidRPr="00BE0974">
        <w:rPr>
          <w:rFonts w:ascii="Calibri" w:hAnsi="Calibri"/>
          <w:bCs/>
          <w:sz w:val="24"/>
          <w:szCs w:val="24"/>
        </w:rPr>
        <w:t xml:space="preserve"> (en adelante </w:t>
      </w:r>
      <w:r w:rsidR="00FA0248" w:rsidRPr="00BE0974">
        <w:rPr>
          <w:rFonts w:ascii="Calibri" w:hAnsi="Calibri"/>
          <w:bCs/>
          <w:sz w:val="24"/>
          <w:szCs w:val="24"/>
        </w:rPr>
        <w:t>Coalición</w:t>
      </w:r>
      <w:r w:rsidRPr="00BE0974">
        <w:rPr>
          <w:rFonts w:ascii="Calibri" w:hAnsi="Calibri"/>
          <w:bCs/>
          <w:sz w:val="24"/>
          <w:szCs w:val="24"/>
        </w:rPr>
        <w:t>)</w:t>
      </w:r>
      <w:r w:rsidR="00354A9A" w:rsidRPr="00BE0974">
        <w:rPr>
          <w:rFonts w:ascii="Calibri" w:hAnsi="Calibri" w:cs="Calibri"/>
          <w:bCs/>
          <w:sz w:val="24"/>
          <w:szCs w:val="24"/>
        </w:rPr>
        <w:t>.</w:t>
      </w:r>
    </w:p>
    <w:p w14:paraId="1B5BC98A" w14:textId="77777777" w:rsidR="0078391A" w:rsidRPr="00BE0974" w:rsidRDefault="0078391A" w:rsidP="0078391A">
      <w:pPr>
        <w:pStyle w:val="Prrafodelista"/>
        <w:widowControl w:val="0"/>
        <w:tabs>
          <w:tab w:val="left" w:pos="0"/>
          <w:tab w:val="left" w:pos="284"/>
        </w:tabs>
        <w:autoSpaceDE w:val="0"/>
        <w:autoSpaceDN w:val="0"/>
        <w:spacing w:after="0" w:line="240" w:lineRule="auto"/>
        <w:ind w:left="0" w:right="-143"/>
        <w:contextualSpacing w:val="0"/>
        <w:jc w:val="both"/>
        <w:rPr>
          <w:rFonts w:cs="Calibri"/>
          <w:sz w:val="24"/>
          <w:szCs w:val="24"/>
        </w:rPr>
      </w:pPr>
    </w:p>
    <w:p w14:paraId="4E94BA84" w14:textId="79E89A4D" w:rsidR="004A2FA6" w:rsidRPr="00BE0974" w:rsidRDefault="004A2FA6" w:rsidP="004A2FA6">
      <w:pPr>
        <w:pStyle w:val="Prrafodelista"/>
        <w:widowControl w:val="0"/>
        <w:numPr>
          <w:ilvl w:val="0"/>
          <w:numId w:val="16"/>
        </w:numPr>
        <w:tabs>
          <w:tab w:val="left" w:pos="0"/>
          <w:tab w:val="left" w:pos="284"/>
        </w:tabs>
        <w:autoSpaceDE w:val="0"/>
        <w:autoSpaceDN w:val="0"/>
        <w:spacing w:after="0" w:line="240" w:lineRule="auto"/>
        <w:ind w:left="0" w:right="-142" w:hanging="142"/>
        <w:contextualSpacing w:val="0"/>
        <w:jc w:val="both"/>
        <w:rPr>
          <w:rFonts w:eastAsia="Times New Roman" w:cs="Calibri"/>
          <w:bCs/>
          <w:sz w:val="24"/>
          <w:szCs w:val="24"/>
          <w:lang w:val="es-ES" w:eastAsia="es-ES"/>
        </w:rPr>
      </w:pPr>
      <w:r w:rsidRPr="00BE0974">
        <w:rPr>
          <w:rFonts w:eastAsia="Times New Roman" w:cs="Calibri"/>
          <w:sz w:val="24"/>
          <w:szCs w:val="24"/>
          <w:lang w:val="es-ES" w:eastAsia="es-ES"/>
        </w:rPr>
        <w:t xml:space="preserve">El veinte de abril de dos mil veintiuno, </w:t>
      </w:r>
      <w:r w:rsidRPr="00BE0974">
        <w:rPr>
          <w:rFonts w:eastAsia="Times New Roman" w:cs="Calibri"/>
          <w:bCs/>
          <w:sz w:val="24"/>
          <w:szCs w:val="24"/>
          <w:lang w:val="es-ES" w:eastAsia="es-ES"/>
        </w:rPr>
        <w:t xml:space="preserve">el Consejo General, mediante el Acuerdo </w:t>
      </w:r>
      <w:r w:rsidRPr="00BE0974">
        <w:rPr>
          <w:rFonts w:eastAsia="Times New Roman"/>
          <w:bCs/>
          <w:iCs/>
          <w:sz w:val="24"/>
          <w:szCs w:val="24"/>
          <w:lang w:val="es-ES" w:eastAsia="es-ES"/>
        </w:rPr>
        <w:t>IEQROO/CG/A-131-2021</w:t>
      </w:r>
      <w:r w:rsidRPr="00BE0974">
        <w:rPr>
          <w:rFonts w:eastAsia="Times New Roman" w:cs="Calibri"/>
          <w:sz w:val="24"/>
          <w:szCs w:val="24"/>
          <w:lang w:val="es-ES" w:eastAsia="es-ES"/>
        </w:rPr>
        <w:t xml:space="preserve"> aprobó </w:t>
      </w:r>
      <w:r w:rsidRPr="00BE0974">
        <w:rPr>
          <w:rFonts w:ascii="Calibri" w:hAnsi="Calibri" w:cs="Calibri"/>
          <w:bCs/>
          <w:sz w:val="24"/>
          <w:szCs w:val="24"/>
        </w:rPr>
        <w:t>el Procedimiento para la preservación, resguardo y custodia de la documentación electoral y materiales electorales para el Proceso Electoral Local 2020-2021, en el cual se estableció el veinticuatro de abril de dos mil veintiuno, como fecha límite para que las sustituciones en las candidaturas se reflejen en la boleta.</w:t>
      </w:r>
    </w:p>
    <w:p w14:paraId="3463F409" w14:textId="77777777" w:rsidR="0078391A" w:rsidRPr="00BE0974" w:rsidRDefault="0078391A" w:rsidP="0078391A">
      <w:pPr>
        <w:pStyle w:val="Prrafodelista"/>
        <w:rPr>
          <w:rFonts w:eastAsia="Times New Roman" w:cs="Calibri"/>
          <w:b/>
          <w:sz w:val="24"/>
          <w:szCs w:val="24"/>
          <w:lang w:val="es-ES" w:eastAsia="es-ES"/>
        </w:rPr>
      </w:pPr>
    </w:p>
    <w:p w14:paraId="590FD25B" w14:textId="63D6F35D" w:rsidR="00F8435C" w:rsidRPr="00BE0974" w:rsidRDefault="0078391A" w:rsidP="00F8435C">
      <w:pPr>
        <w:pStyle w:val="Prrafodelista"/>
        <w:widowControl w:val="0"/>
        <w:numPr>
          <w:ilvl w:val="0"/>
          <w:numId w:val="16"/>
        </w:numPr>
        <w:autoSpaceDE w:val="0"/>
        <w:autoSpaceDN w:val="0"/>
        <w:spacing w:after="0" w:line="240" w:lineRule="auto"/>
        <w:ind w:left="0" w:right="-142"/>
        <w:contextualSpacing w:val="0"/>
        <w:jc w:val="both"/>
        <w:rPr>
          <w:rFonts w:eastAsia="Times New Roman" w:cs="Calibri"/>
          <w:b/>
          <w:sz w:val="24"/>
          <w:szCs w:val="24"/>
          <w:lang w:val="es-ES" w:eastAsia="es-ES"/>
        </w:rPr>
      </w:pPr>
      <w:r w:rsidRPr="00BE0974">
        <w:rPr>
          <w:rFonts w:cs="Calibri"/>
          <w:sz w:val="24"/>
          <w:szCs w:val="24"/>
        </w:rPr>
        <w:t xml:space="preserve">El </w:t>
      </w:r>
      <w:r w:rsidR="00F8435C" w:rsidRPr="00BE0974">
        <w:rPr>
          <w:rFonts w:cs="Calibri"/>
          <w:sz w:val="24"/>
          <w:szCs w:val="24"/>
        </w:rPr>
        <w:t>dieciocho</w:t>
      </w:r>
      <w:r w:rsidR="00DD3ABC" w:rsidRPr="00BE0974">
        <w:rPr>
          <w:rFonts w:cs="Calibri"/>
          <w:sz w:val="24"/>
          <w:szCs w:val="24"/>
        </w:rPr>
        <w:t xml:space="preserve"> de mayo</w:t>
      </w:r>
      <w:r w:rsidRPr="00BE0974">
        <w:rPr>
          <w:rFonts w:cs="Calibri"/>
          <w:sz w:val="24"/>
          <w:szCs w:val="24"/>
        </w:rPr>
        <w:t xml:space="preserve"> de dos mil </w:t>
      </w:r>
      <w:r w:rsidR="00DD3ABC" w:rsidRPr="00BE0974">
        <w:rPr>
          <w:rFonts w:cs="Calibri"/>
          <w:sz w:val="24"/>
          <w:szCs w:val="24"/>
        </w:rPr>
        <w:t>veintiuno</w:t>
      </w:r>
      <w:r w:rsidRPr="00BE0974">
        <w:rPr>
          <w:rFonts w:cs="Calibri"/>
          <w:sz w:val="24"/>
          <w:szCs w:val="24"/>
        </w:rPr>
        <w:t xml:space="preserve">, </w:t>
      </w:r>
      <w:r w:rsidR="00F8435C" w:rsidRPr="00BE0974">
        <w:rPr>
          <w:rFonts w:cs="Calibri"/>
          <w:sz w:val="24"/>
          <w:szCs w:val="24"/>
        </w:rPr>
        <w:t xml:space="preserve">la Sala Regional del Tribunal Electoral del Poder Judicial de la Federación, Tercera Circunscripción Plurinominal Electoral Federal (en adelante </w:t>
      </w:r>
      <w:r w:rsidR="00910853" w:rsidRPr="00BE0974">
        <w:rPr>
          <w:rFonts w:cs="Calibri"/>
          <w:sz w:val="24"/>
          <w:szCs w:val="24"/>
        </w:rPr>
        <w:t>Sala Xalapa</w:t>
      </w:r>
      <w:r w:rsidR="00F8435C" w:rsidRPr="00BE0974">
        <w:rPr>
          <w:rFonts w:cs="Calibri"/>
          <w:sz w:val="24"/>
          <w:szCs w:val="24"/>
        </w:rPr>
        <w:t xml:space="preserve">), dictó sentencia dentro del expediente </w:t>
      </w:r>
      <w:r w:rsidR="00DC4478" w:rsidRPr="00BE0974">
        <w:rPr>
          <w:rFonts w:cs="Calibri"/>
          <w:sz w:val="24"/>
          <w:szCs w:val="24"/>
        </w:rPr>
        <w:t>SX-JDC-954</w:t>
      </w:r>
      <w:r w:rsidR="00F8435C" w:rsidRPr="00BE0974">
        <w:rPr>
          <w:rFonts w:cs="Calibri"/>
          <w:sz w:val="24"/>
          <w:szCs w:val="24"/>
        </w:rPr>
        <w:t>/2021 (en adelante la Sentencia), mo</w:t>
      </w:r>
      <w:r w:rsidR="00910853" w:rsidRPr="00BE0974">
        <w:rPr>
          <w:rFonts w:cs="Calibri"/>
          <w:sz w:val="24"/>
          <w:szCs w:val="24"/>
        </w:rPr>
        <w:t>di</w:t>
      </w:r>
      <w:r w:rsidR="00F8435C" w:rsidRPr="00BE0974">
        <w:rPr>
          <w:rFonts w:cs="Calibri"/>
          <w:sz w:val="24"/>
          <w:szCs w:val="24"/>
        </w:rPr>
        <w:t>ficando</w:t>
      </w:r>
      <w:r w:rsidR="00910853" w:rsidRPr="00BE0974">
        <w:rPr>
          <w:rFonts w:cs="Calibri"/>
          <w:sz w:val="24"/>
          <w:szCs w:val="24"/>
        </w:rPr>
        <w:t xml:space="preserve"> la </w:t>
      </w:r>
      <w:r w:rsidR="008E385D" w:rsidRPr="00BE0974">
        <w:rPr>
          <w:rFonts w:cs="Calibri"/>
          <w:sz w:val="24"/>
          <w:szCs w:val="24"/>
        </w:rPr>
        <w:t>resolución del Tribunal Electoral de Quintana Roo dentro del expediente</w:t>
      </w:r>
      <w:r w:rsidR="00910853" w:rsidRPr="00BE0974">
        <w:rPr>
          <w:rFonts w:cs="Calibri"/>
          <w:sz w:val="24"/>
          <w:szCs w:val="24"/>
        </w:rPr>
        <w:t xml:space="preserve"> </w:t>
      </w:r>
      <w:r w:rsidR="008E385D" w:rsidRPr="00BE0974">
        <w:rPr>
          <w:rFonts w:cs="Calibri"/>
          <w:sz w:val="24"/>
          <w:szCs w:val="24"/>
        </w:rPr>
        <w:t>PES/011/2021,</w:t>
      </w:r>
      <w:r w:rsidR="00910853" w:rsidRPr="00BE0974">
        <w:rPr>
          <w:rFonts w:cs="Calibri"/>
          <w:sz w:val="24"/>
          <w:szCs w:val="24"/>
        </w:rPr>
        <w:t xml:space="preserve"> </w:t>
      </w:r>
      <w:r w:rsidR="00DC4478" w:rsidRPr="00BE0974">
        <w:rPr>
          <w:rFonts w:cs="Calibri"/>
          <w:sz w:val="24"/>
          <w:szCs w:val="24"/>
        </w:rPr>
        <w:t>en relación a</w:t>
      </w:r>
      <w:r w:rsidR="00910853" w:rsidRPr="00BE0974">
        <w:rPr>
          <w:rFonts w:cs="Calibri"/>
          <w:sz w:val="24"/>
          <w:szCs w:val="24"/>
        </w:rPr>
        <w:t xml:space="preserve"> las conductas </w:t>
      </w:r>
      <w:r w:rsidR="00DC4478" w:rsidRPr="00BE0974">
        <w:rPr>
          <w:rFonts w:cs="Calibri"/>
          <w:sz w:val="24"/>
          <w:szCs w:val="24"/>
        </w:rPr>
        <w:t xml:space="preserve">en materia de violencia política de género atribuibles </w:t>
      </w:r>
      <w:r w:rsidR="00910853" w:rsidRPr="00BE0974">
        <w:rPr>
          <w:rFonts w:cs="Calibri"/>
          <w:sz w:val="24"/>
          <w:szCs w:val="24"/>
        </w:rPr>
        <w:t>al ciudadano Luis Gamero</w:t>
      </w:r>
      <w:r w:rsidR="005D462A" w:rsidRPr="00BE0974">
        <w:rPr>
          <w:rFonts w:cs="Calibri"/>
          <w:sz w:val="24"/>
          <w:szCs w:val="24"/>
        </w:rPr>
        <w:t xml:space="preserve"> Barranco, </w:t>
      </w:r>
      <w:r w:rsidR="008411D1" w:rsidRPr="00BE0974">
        <w:rPr>
          <w:rFonts w:cs="Calibri"/>
          <w:sz w:val="24"/>
          <w:szCs w:val="24"/>
        </w:rPr>
        <w:t>en términos d</w:t>
      </w:r>
      <w:r w:rsidR="00DC4478" w:rsidRPr="00BE0974">
        <w:rPr>
          <w:rFonts w:cs="Calibri"/>
          <w:sz w:val="24"/>
          <w:szCs w:val="24"/>
        </w:rPr>
        <w:t xml:space="preserve">el punto resolutivo tercero de la Sentencia, </w:t>
      </w:r>
      <w:r w:rsidR="008411D1" w:rsidRPr="00BE0974">
        <w:rPr>
          <w:rFonts w:cs="Calibri"/>
          <w:sz w:val="24"/>
          <w:szCs w:val="24"/>
        </w:rPr>
        <w:t>se determinó</w:t>
      </w:r>
      <w:r w:rsidR="00DC4478" w:rsidRPr="00BE0974">
        <w:rPr>
          <w:rFonts w:cs="Calibri"/>
          <w:sz w:val="24"/>
          <w:szCs w:val="24"/>
        </w:rPr>
        <w:t xml:space="preserve"> lo siguiente:</w:t>
      </w:r>
    </w:p>
    <w:p w14:paraId="555318D1" w14:textId="77777777" w:rsidR="00DC4478" w:rsidRPr="00BE0974" w:rsidRDefault="00DC4478" w:rsidP="00DC4478">
      <w:pPr>
        <w:pStyle w:val="Prrafodelista"/>
        <w:rPr>
          <w:rFonts w:eastAsia="Times New Roman" w:cs="Calibri"/>
          <w:b/>
          <w:i/>
          <w:sz w:val="24"/>
          <w:szCs w:val="24"/>
          <w:lang w:val="es-ES" w:eastAsia="es-ES"/>
        </w:rPr>
      </w:pPr>
    </w:p>
    <w:p w14:paraId="3EF9D56F" w14:textId="6406E3F3" w:rsidR="00DC4478" w:rsidRPr="00BE0974" w:rsidRDefault="00DC4478" w:rsidP="00DC4478">
      <w:pPr>
        <w:pStyle w:val="Prrafodelista"/>
        <w:autoSpaceDE w:val="0"/>
        <w:autoSpaceDN w:val="0"/>
        <w:adjustRightInd w:val="0"/>
        <w:spacing w:after="0" w:line="240" w:lineRule="auto"/>
        <w:ind w:left="360"/>
        <w:jc w:val="both"/>
        <w:rPr>
          <w:rFonts w:eastAsia="Times New Roman" w:cstheme="minorHAnsi"/>
          <w:b/>
          <w:i/>
          <w:sz w:val="20"/>
          <w:szCs w:val="20"/>
          <w:lang w:val="es-ES" w:eastAsia="es-ES"/>
        </w:rPr>
      </w:pPr>
      <w:r w:rsidRPr="00BE0974">
        <w:rPr>
          <w:rFonts w:cstheme="minorHAnsi"/>
          <w:b/>
          <w:bCs/>
          <w:i/>
          <w:sz w:val="20"/>
          <w:szCs w:val="20"/>
        </w:rPr>
        <w:t xml:space="preserve">“TERCERO. </w:t>
      </w:r>
      <w:r w:rsidRPr="00BE0974">
        <w:rPr>
          <w:rFonts w:cstheme="minorHAnsi"/>
          <w:i/>
          <w:sz w:val="20"/>
          <w:szCs w:val="20"/>
        </w:rPr>
        <w:t xml:space="preserve">Se </w:t>
      </w:r>
      <w:r w:rsidRPr="00BE0974">
        <w:rPr>
          <w:rFonts w:cstheme="minorHAnsi"/>
          <w:b/>
          <w:bCs/>
          <w:i/>
          <w:sz w:val="20"/>
          <w:szCs w:val="20"/>
        </w:rPr>
        <w:t xml:space="preserve">ordena </w:t>
      </w:r>
      <w:r w:rsidRPr="00BE0974">
        <w:rPr>
          <w:rFonts w:cstheme="minorHAnsi"/>
          <w:i/>
          <w:sz w:val="20"/>
          <w:szCs w:val="20"/>
        </w:rPr>
        <w:t>al Instituto Estatal Electoral y al Tribunal Electoral, ambos de Quintana Roo, autoridades vinculadas al cumplimiento de esta sentencia, que una vez notificada la presente resolución procedan de inmediato conforme a sus facultades.”</w:t>
      </w:r>
    </w:p>
    <w:p w14:paraId="693158B1" w14:textId="77777777" w:rsidR="0051089B" w:rsidRPr="00BE0974" w:rsidRDefault="0051089B" w:rsidP="0051089B">
      <w:pPr>
        <w:pStyle w:val="Prrafodelista"/>
        <w:rPr>
          <w:rFonts w:eastAsia="Times New Roman" w:cs="Calibri"/>
          <w:b/>
          <w:sz w:val="24"/>
          <w:szCs w:val="24"/>
          <w:lang w:val="es-ES" w:eastAsia="es-ES"/>
        </w:rPr>
      </w:pPr>
    </w:p>
    <w:p w14:paraId="7181F9BE" w14:textId="6D8A953E" w:rsidR="00211E8E" w:rsidRPr="00BE0974" w:rsidRDefault="005D462A" w:rsidP="005B2F18">
      <w:pPr>
        <w:pStyle w:val="Prrafodelista"/>
        <w:widowControl w:val="0"/>
        <w:numPr>
          <w:ilvl w:val="0"/>
          <w:numId w:val="16"/>
        </w:numPr>
        <w:tabs>
          <w:tab w:val="left" w:pos="0"/>
          <w:tab w:val="left" w:pos="284"/>
        </w:tabs>
        <w:autoSpaceDE w:val="0"/>
        <w:autoSpaceDN w:val="0"/>
        <w:spacing w:after="0" w:line="240" w:lineRule="auto"/>
        <w:ind w:left="0" w:right="-143" w:hanging="142"/>
        <w:contextualSpacing w:val="0"/>
        <w:jc w:val="both"/>
        <w:rPr>
          <w:rFonts w:cs="Calibri"/>
          <w:sz w:val="24"/>
          <w:szCs w:val="24"/>
        </w:rPr>
      </w:pPr>
      <w:r w:rsidRPr="00BE0974">
        <w:rPr>
          <w:rFonts w:cs="Calibri"/>
          <w:sz w:val="24"/>
          <w:szCs w:val="24"/>
        </w:rPr>
        <w:lastRenderedPageBreak/>
        <w:t>El diecinueve</w:t>
      </w:r>
      <w:r w:rsidR="00211E8E" w:rsidRPr="00BE0974">
        <w:rPr>
          <w:rFonts w:cs="Calibri"/>
          <w:sz w:val="24"/>
          <w:szCs w:val="24"/>
        </w:rPr>
        <w:t xml:space="preserve"> de mayo de dos mil veintiuno, </w:t>
      </w:r>
      <w:r w:rsidRPr="00BE0974">
        <w:rPr>
          <w:rFonts w:cs="Calibri"/>
          <w:sz w:val="24"/>
          <w:szCs w:val="24"/>
        </w:rPr>
        <w:t>la Sala Xalapa</w:t>
      </w:r>
      <w:r w:rsidR="00211E8E" w:rsidRPr="00BE0974">
        <w:rPr>
          <w:rFonts w:cs="Calibri"/>
          <w:sz w:val="24"/>
          <w:szCs w:val="24"/>
        </w:rPr>
        <w:t xml:space="preserve"> notificó a</w:t>
      </w:r>
      <w:r w:rsidR="00187384" w:rsidRPr="00BE0974">
        <w:rPr>
          <w:rFonts w:cs="Calibri"/>
          <w:sz w:val="24"/>
          <w:szCs w:val="24"/>
        </w:rPr>
        <w:t>l</w:t>
      </w:r>
      <w:r w:rsidR="00211E8E" w:rsidRPr="00BE0974">
        <w:rPr>
          <w:rFonts w:cs="Calibri"/>
          <w:sz w:val="24"/>
          <w:szCs w:val="24"/>
        </w:rPr>
        <w:t xml:space="preserve"> Instituto </w:t>
      </w:r>
      <w:r w:rsidR="00E50A0F" w:rsidRPr="00BE0974">
        <w:rPr>
          <w:rFonts w:cs="Calibri"/>
          <w:sz w:val="24"/>
          <w:szCs w:val="24"/>
        </w:rPr>
        <w:t xml:space="preserve">Electoral de Quintana Roo (en adelante el Instituto) </w:t>
      </w:r>
      <w:r w:rsidR="00211E8E" w:rsidRPr="00BE0974">
        <w:rPr>
          <w:rFonts w:cs="Calibri"/>
          <w:sz w:val="24"/>
          <w:szCs w:val="24"/>
        </w:rPr>
        <w:t xml:space="preserve">la </w:t>
      </w:r>
      <w:r w:rsidR="008411D1" w:rsidRPr="00BE0974">
        <w:rPr>
          <w:rFonts w:cs="Calibri"/>
          <w:sz w:val="24"/>
          <w:szCs w:val="24"/>
        </w:rPr>
        <w:t>S</w:t>
      </w:r>
      <w:r w:rsidR="00211E8E" w:rsidRPr="00BE0974">
        <w:rPr>
          <w:rFonts w:cs="Calibri"/>
          <w:sz w:val="24"/>
          <w:szCs w:val="24"/>
        </w:rPr>
        <w:t xml:space="preserve">entencia referida en el Antecedente que precede, misma que </w:t>
      </w:r>
      <w:r w:rsidR="00211E8E" w:rsidRPr="00BE0974">
        <w:rPr>
          <w:rFonts w:eastAsia="Times New Roman" w:cstheme="minorHAnsi"/>
          <w:bCs/>
          <w:sz w:val="24"/>
          <w:szCs w:val="24"/>
          <w:lang w:val="es-ES" w:eastAsia="es-ES"/>
        </w:rPr>
        <w:t xml:space="preserve">fue remitida a la </w:t>
      </w:r>
      <w:r w:rsidR="00F916D6" w:rsidRPr="00BE0974">
        <w:rPr>
          <w:rFonts w:eastAsia="Times New Roman" w:cstheme="minorHAnsi"/>
          <w:bCs/>
          <w:sz w:val="24"/>
          <w:szCs w:val="24"/>
          <w:lang w:val="es-ES" w:eastAsia="es-ES"/>
        </w:rPr>
        <w:t>Dirección de Partidos Políticos (en adelante la Dirección)</w:t>
      </w:r>
      <w:r w:rsidR="00211E8E" w:rsidRPr="00BE0974">
        <w:rPr>
          <w:rFonts w:eastAsia="Times New Roman" w:cstheme="minorHAnsi"/>
          <w:bCs/>
          <w:sz w:val="24"/>
          <w:szCs w:val="24"/>
          <w:lang w:val="es-ES" w:eastAsia="es-ES"/>
        </w:rPr>
        <w:t xml:space="preserve"> para su análisis.</w:t>
      </w:r>
    </w:p>
    <w:p w14:paraId="28B24212" w14:textId="77777777" w:rsidR="00211E8E" w:rsidRPr="00BE0974" w:rsidRDefault="00211E8E" w:rsidP="00211E8E">
      <w:pPr>
        <w:pStyle w:val="Prrafodelista"/>
        <w:rPr>
          <w:rFonts w:cs="Calibri"/>
          <w:sz w:val="24"/>
          <w:szCs w:val="24"/>
        </w:rPr>
      </w:pPr>
    </w:p>
    <w:p w14:paraId="2223BE6E" w14:textId="23CDFC9C" w:rsidR="00211E8E" w:rsidRPr="00BE0974" w:rsidRDefault="00211E8E" w:rsidP="00211E8E">
      <w:pPr>
        <w:pStyle w:val="Prrafodelista"/>
        <w:widowControl w:val="0"/>
        <w:numPr>
          <w:ilvl w:val="0"/>
          <w:numId w:val="16"/>
        </w:numPr>
        <w:tabs>
          <w:tab w:val="left" w:pos="0"/>
          <w:tab w:val="left" w:pos="284"/>
        </w:tabs>
        <w:autoSpaceDE w:val="0"/>
        <w:autoSpaceDN w:val="0"/>
        <w:spacing w:after="0" w:line="240" w:lineRule="auto"/>
        <w:ind w:left="0" w:right="-142" w:hanging="142"/>
        <w:contextualSpacing w:val="0"/>
        <w:jc w:val="both"/>
        <w:rPr>
          <w:rFonts w:eastAsia="Times New Roman" w:cs="Calibri"/>
          <w:b/>
          <w:sz w:val="24"/>
          <w:szCs w:val="24"/>
          <w:lang w:val="es-ES" w:eastAsia="es-ES"/>
        </w:rPr>
      </w:pPr>
      <w:r w:rsidRPr="00BE0974">
        <w:rPr>
          <w:rFonts w:eastAsia="Times New Roman" w:cs="Calibri"/>
          <w:bCs/>
          <w:sz w:val="24"/>
          <w:szCs w:val="24"/>
          <w:lang w:val="es-ES" w:eastAsia="es-ES"/>
        </w:rPr>
        <w:t xml:space="preserve">El </w:t>
      </w:r>
      <w:r w:rsidR="008411D1" w:rsidRPr="00BE0974">
        <w:rPr>
          <w:rFonts w:eastAsia="Times New Roman" w:cs="Calibri"/>
          <w:bCs/>
          <w:sz w:val="24"/>
          <w:szCs w:val="24"/>
          <w:lang w:val="es-ES" w:eastAsia="es-ES"/>
        </w:rPr>
        <w:t>veinte</w:t>
      </w:r>
      <w:r w:rsidRPr="00BE0974">
        <w:rPr>
          <w:rFonts w:eastAsia="Times New Roman" w:cs="Calibri"/>
          <w:bCs/>
          <w:sz w:val="24"/>
          <w:szCs w:val="24"/>
          <w:lang w:val="es-ES" w:eastAsia="es-ES"/>
        </w:rPr>
        <w:t xml:space="preserve"> de mayo de dos mil veintiuno,</w:t>
      </w:r>
      <w:r w:rsidR="005D462A" w:rsidRPr="00BE0974">
        <w:rPr>
          <w:rFonts w:eastAsia="Times New Roman" w:cs="Calibri"/>
          <w:bCs/>
          <w:sz w:val="24"/>
          <w:szCs w:val="24"/>
          <w:lang w:val="es-ES" w:eastAsia="es-ES"/>
        </w:rPr>
        <w:t xml:space="preserve"> derivado de lo señalado en el Antecedente </w:t>
      </w:r>
      <w:r w:rsidR="00DC4478" w:rsidRPr="00BE0974">
        <w:rPr>
          <w:rFonts w:eastAsia="Times New Roman" w:cs="Calibri"/>
          <w:bCs/>
          <w:sz w:val="24"/>
          <w:szCs w:val="24"/>
          <w:lang w:val="es-ES" w:eastAsia="es-ES"/>
        </w:rPr>
        <w:t>que precede</w:t>
      </w:r>
      <w:r w:rsidRPr="00BE0974">
        <w:rPr>
          <w:rFonts w:eastAsia="Times New Roman" w:cs="Calibri"/>
          <w:bCs/>
          <w:sz w:val="24"/>
          <w:szCs w:val="24"/>
          <w:lang w:val="es-ES" w:eastAsia="es-ES"/>
        </w:rPr>
        <w:t>, la Dirección elaboró el presente proyecto de Acuerdo y lo turnó a la Consejera Presidenta, a efecto de que lo someta a consideración del Consejo General.</w:t>
      </w:r>
    </w:p>
    <w:p w14:paraId="504D5821" w14:textId="77777777" w:rsidR="00211E8E" w:rsidRPr="00BE0974" w:rsidRDefault="00211E8E" w:rsidP="00211E8E">
      <w:pPr>
        <w:pStyle w:val="Listavistosa-nfasis11"/>
        <w:widowControl w:val="0"/>
        <w:tabs>
          <w:tab w:val="left" w:pos="0"/>
          <w:tab w:val="left" w:pos="284"/>
        </w:tabs>
        <w:autoSpaceDE w:val="0"/>
        <w:autoSpaceDN w:val="0"/>
        <w:spacing w:after="0" w:line="240" w:lineRule="auto"/>
        <w:ind w:left="0" w:right="-143"/>
        <w:contextualSpacing w:val="0"/>
        <w:jc w:val="both"/>
        <w:rPr>
          <w:rFonts w:eastAsia="Times New Roman" w:cs="Calibri"/>
          <w:bCs/>
          <w:sz w:val="24"/>
          <w:szCs w:val="24"/>
          <w:lang w:val="es-ES" w:eastAsia="es-ES"/>
        </w:rPr>
      </w:pPr>
    </w:p>
    <w:p w14:paraId="423ABF7B" w14:textId="77777777" w:rsidR="00211E8E" w:rsidRPr="00BE0974" w:rsidRDefault="00211E8E" w:rsidP="00211E8E">
      <w:pPr>
        <w:pStyle w:val="Prrafodelista"/>
        <w:tabs>
          <w:tab w:val="left" w:pos="284"/>
        </w:tabs>
        <w:spacing w:after="0" w:line="240" w:lineRule="auto"/>
        <w:ind w:left="0" w:right="-143"/>
        <w:jc w:val="both"/>
        <w:rPr>
          <w:rFonts w:eastAsia="Times New Roman" w:cs="Calibri"/>
          <w:sz w:val="24"/>
          <w:szCs w:val="24"/>
          <w:lang w:eastAsia="es-MX"/>
        </w:rPr>
      </w:pPr>
      <w:r w:rsidRPr="00BE0974">
        <w:rPr>
          <w:rFonts w:eastAsia="Times New Roman" w:cs="Calibri"/>
          <w:sz w:val="24"/>
          <w:szCs w:val="24"/>
          <w:lang w:eastAsia="es-MX"/>
        </w:rPr>
        <w:t>En consecuencia, el presente Acuerdo es presentado a la consideración de este órgano superior de dirección, al tenor de los Antecedentes que preceden, y</w:t>
      </w:r>
    </w:p>
    <w:p w14:paraId="62D0B530" w14:textId="77777777" w:rsidR="00211E8E" w:rsidRPr="00BE0974" w:rsidRDefault="00211E8E" w:rsidP="00211E8E">
      <w:pPr>
        <w:pStyle w:val="Prrafodelista"/>
        <w:tabs>
          <w:tab w:val="left" w:pos="284"/>
        </w:tabs>
        <w:spacing w:after="0" w:line="240" w:lineRule="auto"/>
        <w:ind w:left="0" w:right="-143"/>
        <w:jc w:val="both"/>
        <w:rPr>
          <w:rFonts w:eastAsia="Times New Roman"/>
          <w:sz w:val="24"/>
          <w:szCs w:val="24"/>
          <w:lang w:val="es-ES" w:eastAsia="es-ES"/>
        </w:rPr>
      </w:pPr>
    </w:p>
    <w:p w14:paraId="1F2CBCF3" w14:textId="77777777" w:rsidR="00450BC6" w:rsidRPr="00BE0974" w:rsidRDefault="00450BC6" w:rsidP="00450BC6">
      <w:pPr>
        <w:pStyle w:val="Prrafodelista"/>
        <w:tabs>
          <w:tab w:val="left" w:pos="284"/>
        </w:tabs>
        <w:spacing w:after="0" w:line="240" w:lineRule="auto"/>
        <w:ind w:left="0" w:right="-143"/>
        <w:jc w:val="both"/>
        <w:rPr>
          <w:rFonts w:eastAsia="Times New Roman"/>
          <w:sz w:val="24"/>
          <w:szCs w:val="24"/>
          <w:lang w:val="es-ES" w:eastAsia="es-ES"/>
        </w:rPr>
      </w:pPr>
    </w:p>
    <w:p w14:paraId="2E2D07B4" w14:textId="77777777" w:rsidR="00761167" w:rsidRPr="00BE0974" w:rsidRDefault="00761167" w:rsidP="00761167">
      <w:pPr>
        <w:keepNext/>
        <w:tabs>
          <w:tab w:val="left" w:pos="284"/>
        </w:tabs>
        <w:spacing w:after="0" w:line="240" w:lineRule="auto"/>
        <w:ind w:right="-142" w:hanging="142"/>
        <w:jc w:val="center"/>
        <w:outlineLvl w:val="0"/>
        <w:rPr>
          <w:rFonts w:eastAsia="Times New Roman" w:cs="Arial"/>
          <w:b/>
          <w:bCs/>
          <w:sz w:val="24"/>
          <w:szCs w:val="24"/>
          <w:lang w:val="es-ES" w:eastAsia="es-ES"/>
        </w:rPr>
      </w:pPr>
      <w:r w:rsidRPr="00BE0974">
        <w:rPr>
          <w:rFonts w:eastAsia="Times New Roman" w:cs="Arial"/>
          <w:b/>
          <w:bCs/>
          <w:sz w:val="24"/>
          <w:szCs w:val="24"/>
          <w:lang w:val="es-ES" w:eastAsia="es-ES"/>
        </w:rPr>
        <w:t>CONSIDERANDO</w:t>
      </w:r>
    </w:p>
    <w:p w14:paraId="108D3FD0" w14:textId="77777777" w:rsidR="00761167" w:rsidRPr="00BE0974" w:rsidRDefault="00761167" w:rsidP="00761167">
      <w:pPr>
        <w:keepNext/>
        <w:tabs>
          <w:tab w:val="left" w:pos="284"/>
        </w:tabs>
        <w:spacing w:after="0" w:line="240" w:lineRule="auto"/>
        <w:ind w:right="-142" w:hanging="142"/>
        <w:jc w:val="center"/>
        <w:outlineLvl w:val="0"/>
        <w:rPr>
          <w:rFonts w:eastAsia="Times New Roman" w:cs="Arial"/>
          <w:b/>
          <w:bCs/>
          <w:sz w:val="24"/>
          <w:szCs w:val="24"/>
          <w:lang w:val="es-ES" w:eastAsia="es-ES"/>
        </w:rPr>
      </w:pPr>
    </w:p>
    <w:p w14:paraId="15D5C39D" w14:textId="240E9A96" w:rsidR="00761167" w:rsidRPr="00BE0974" w:rsidRDefault="00761167" w:rsidP="00761167">
      <w:pPr>
        <w:pStyle w:val="Prrafodelista"/>
        <w:numPr>
          <w:ilvl w:val="0"/>
          <w:numId w:val="21"/>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jc w:val="both"/>
        <w:rPr>
          <w:rFonts w:eastAsia="Times New Roman" w:cs="Calibri"/>
          <w:sz w:val="24"/>
          <w:szCs w:val="24"/>
          <w:lang w:val="es-ES" w:eastAsia="es-ES"/>
        </w:rPr>
      </w:pPr>
      <w:r w:rsidRPr="00BE0974">
        <w:rPr>
          <w:rFonts w:eastAsia="Times New Roman" w:cs="Calibri"/>
          <w:sz w:val="24"/>
          <w:szCs w:val="24"/>
          <w:lang w:val="es-ES" w:eastAsia="es-ES"/>
        </w:rPr>
        <w:t xml:space="preserve">Que con fundamento en el artículo 41, párrafo segundo, Base V, apartado C, numeral 1 de la Constitución Política de los Estados Unidos Mexicanos (en adelante Constitución federal), en relación con los artículos 98, numerales 1 y 2 y 104 de la Ley General de Instituciones y Procedimientos Electorales; artículo 49 fracción II de la Constitución Política del Estado Libre y Soberano de Quintana Roo (en adelante Constitución local); artículos 120 y 125, fracción VI, 137, fracciones I y II de la </w:t>
      </w:r>
      <w:r w:rsidR="00E50A0F" w:rsidRPr="00BE0974">
        <w:rPr>
          <w:rFonts w:eastAsia="Times New Roman" w:cs="Calibri"/>
          <w:sz w:val="24"/>
          <w:szCs w:val="24"/>
          <w:lang w:val="es-ES" w:eastAsia="es-ES"/>
        </w:rPr>
        <w:t>Ley de Instituciones y Procedimientos Electorales para el Estado de Quintana Roo( en adelante Ley local),</w:t>
      </w:r>
      <w:r w:rsidRPr="00BE0974">
        <w:rPr>
          <w:rFonts w:eastAsia="Times New Roman" w:cs="Calibri"/>
          <w:sz w:val="24"/>
          <w:szCs w:val="24"/>
          <w:lang w:val="es-ES" w:eastAsia="es-ES"/>
        </w:rPr>
        <w:t xml:space="preserve"> el Consejo General es el órgano máximo de dirección del Instituto y tiene como atribución, entre otras, dictar las normas y previsiones destinadas a hacer efectivas las disposiciones de la Ley local, por lo tanto, es competente para dictar el presente Acuerdo.</w:t>
      </w:r>
    </w:p>
    <w:p w14:paraId="44BE2897" w14:textId="77777777" w:rsidR="00761167" w:rsidRPr="00BE0974" w:rsidRDefault="00761167" w:rsidP="00761167">
      <w:pPr>
        <w:pStyle w:val="Prrafodelista"/>
        <w:spacing w:line="240" w:lineRule="auto"/>
        <w:ind w:left="0"/>
        <w:rPr>
          <w:rFonts w:cs="Calibri"/>
          <w:sz w:val="24"/>
          <w:szCs w:val="24"/>
        </w:rPr>
      </w:pPr>
    </w:p>
    <w:p w14:paraId="4E27F86E" w14:textId="40F08B10" w:rsidR="00761167" w:rsidRPr="00BE0974" w:rsidRDefault="00761167" w:rsidP="00761167">
      <w:pPr>
        <w:pStyle w:val="Prrafodelista"/>
        <w:numPr>
          <w:ilvl w:val="0"/>
          <w:numId w:val="21"/>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jc w:val="both"/>
        <w:rPr>
          <w:rFonts w:eastAsia="Times New Roman" w:cs="Calibri"/>
          <w:sz w:val="24"/>
          <w:szCs w:val="24"/>
          <w:lang w:val="es-ES" w:eastAsia="es-ES"/>
        </w:rPr>
      </w:pPr>
      <w:r w:rsidRPr="00BE0974">
        <w:rPr>
          <w:rFonts w:cs="Calibri"/>
          <w:sz w:val="24"/>
          <w:szCs w:val="24"/>
        </w:rPr>
        <w:t>Que el artículo 35 de la Constitución federal, establece que son derechos de la ciudadanía votar y ser votad</w:t>
      </w:r>
      <w:r w:rsidR="0090778A" w:rsidRPr="00BE0974">
        <w:rPr>
          <w:rFonts w:cs="Calibri"/>
          <w:sz w:val="24"/>
          <w:szCs w:val="24"/>
        </w:rPr>
        <w:t>a</w:t>
      </w:r>
      <w:r w:rsidRPr="00BE0974">
        <w:rPr>
          <w:rFonts w:cs="Calibri"/>
          <w:sz w:val="24"/>
          <w:szCs w:val="24"/>
        </w:rPr>
        <w:t>, teniendo las calidades que establezca la Ley.</w:t>
      </w:r>
    </w:p>
    <w:p w14:paraId="6E726A0D" w14:textId="77777777" w:rsidR="00761167" w:rsidRPr="00BE0974" w:rsidRDefault="00761167" w:rsidP="006627AA">
      <w:pPr>
        <w:pStyle w:val="Prrafodelista"/>
        <w:spacing w:after="0" w:line="240" w:lineRule="auto"/>
        <w:rPr>
          <w:rFonts w:eastAsia="Times New Roman" w:cs="Calibri"/>
          <w:sz w:val="24"/>
          <w:szCs w:val="24"/>
          <w:lang w:val="es-ES" w:eastAsia="es-ES"/>
        </w:rPr>
      </w:pPr>
    </w:p>
    <w:p w14:paraId="280E6696" w14:textId="77777777" w:rsidR="006627AA" w:rsidRPr="00BE0974" w:rsidRDefault="006627AA" w:rsidP="006627AA">
      <w:pPr>
        <w:numPr>
          <w:ilvl w:val="0"/>
          <w:numId w:val="21"/>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contextualSpacing/>
        <w:jc w:val="both"/>
        <w:rPr>
          <w:rFonts w:eastAsia="Times New Roman" w:cs="Calibri"/>
          <w:sz w:val="24"/>
          <w:szCs w:val="24"/>
          <w:lang w:val="es-ES" w:eastAsia="es-ES"/>
        </w:rPr>
      </w:pPr>
      <w:r w:rsidRPr="00BE0974">
        <w:rPr>
          <w:rFonts w:eastAsia="Times New Roman" w:cs="Calibri"/>
          <w:sz w:val="24"/>
          <w:szCs w:val="24"/>
          <w:lang w:val="es-ES" w:eastAsia="es-ES"/>
        </w:rPr>
        <w:t>Que el artículo 136 de la Constitución local establece lo siguiente:</w:t>
      </w:r>
    </w:p>
    <w:p w14:paraId="4B826062" w14:textId="77777777" w:rsidR="006627AA" w:rsidRPr="00BE0974" w:rsidRDefault="006627AA" w:rsidP="006627AA">
      <w:pPr>
        <w:rPr>
          <w:rFonts w:eastAsia="Times New Roman" w:cs="Calibri"/>
          <w:sz w:val="24"/>
          <w:szCs w:val="24"/>
          <w:lang w:val="es-ES" w:eastAsia="es-ES"/>
        </w:rPr>
      </w:pPr>
    </w:p>
    <w:p w14:paraId="63B86BE9" w14:textId="75CF168E"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“Artículo 136. Para ser miembro de un Ayuntamiento se requiere:</w:t>
      </w:r>
    </w:p>
    <w:p w14:paraId="3510C175"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5EDA69FD"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I. Ser mexicano por nacimiento, ciudadano quintanarroense en pleno ejercicio de sus derechos políticos y civiles, con residencia y vecindad en el Municipio no menor a cinco años anteriores al inicio del proceso electoral.</w:t>
      </w:r>
    </w:p>
    <w:p w14:paraId="7C20E97F"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15AA9E22"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II. Ser de reconocida probidad y solvencia moral.</w:t>
      </w:r>
    </w:p>
    <w:p w14:paraId="4D812E88"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6FE2E960" w14:textId="0B6C916C"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III. No desempeñar, con excepción de los docentes, cargo o comisión del Gobierno Federal, Estatal o Municipal a menos que se separe con noventa días de anticipación al día de la elección. Esta disposición no será aplicable a quienes participen con el carácter de suplentes.</w:t>
      </w:r>
    </w:p>
    <w:p w14:paraId="6F1FFD23"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393F0BE5"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IV. No ser Magistrado del Tribunal de Justicia Administrativa del Estado, ni del Tribunal electoral del Estado, ni Consejero, Secretario Ejecutivo o Director del Instituto Electoral del Estado, a menos que se separe dos años antes de la fecha de inicio del proceso electoral.</w:t>
      </w:r>
    </w:p>
    <w:p w14:paraId="42B8247C"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2D5C9026"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lastRenderedPageBreak/>
        <w:t xml:space="preserve">V. No ser ministro de cualquier culto, a menos que se separe formal y definitivamente de su ministerio cuando menos cinco años antes del inicio del proceso electoral. </w:t>
      </w:r>
    </w:p>
    <w:p w14:paraId="5312D93F"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p>
    <w:p w14:paraId="15251EC1"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sz w:val="18"/>
          <w:szCs w:val="18"/>
        </w:rPr>
      </w:pPr>
      <w:r w:rsidRPr="00BE0974">
        <w:rPr>
          <w:i/>
          <w:sz w:val="18"/>
          <w:szCs w:val="18"/>
        </w:rPr>
        <w:t>Para los efectos de este artículo, son residentes de un Municipio, los habitantes del mismo que por razones del desempeño de un cargo de elección popular, puesto público, comisión de carácter oficial, estudio o empleo, permanezcan dentro de su territorio, sin la intención de establecerse de manera definitiva en el mismo. Son vecinos de un municipio, los residentes establecidos de manera fija en su territorio y que mantengan casa en el mismo en la que habiten de manera ininterrumpida y permanente, y se encuentren inscritos en el padrón electoral correspondiente a ese propio municipio.”</w:t>
      </w:r>
    </w:p>
    <w:p w14:paraId="4C1995EC"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850"/>
        <w:jc w:val="both"/>
        <w:rPr>
          <w:i/>
        </w:rPr>
      </w:pPr>
    </w:p>
    <w:p w14:paraId="0C996756" w14:textId="77777777" w:rsidR="006627AA" w:rsidRPr="00BE0974" w:rsidRDefault="006627AA" w:rsidP="006627AA">
      <w:pPr>
        <w:numPr>
          <w:ilvl w:val="0"/>
          <w:numId w:val="21"/>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contextualSpacing/>
        <w:jc w:val="both"/>
        <w:rPr>
          <w:rFonts w:eastAsia="Times New Roman" w:cs="Calibri"/>
          <w:sz w:val="24"/>
          <w:szCs w:val="24"/>
          <w:lang w:val="es-ES" w:eastAsia="es-ES"/>
        </w:rPr>
      </w:pPr>
      <w:r w:rsidRPr="00BE0974">
        <w:rPr>
          <w:rFonts w:eastAsia="Times New Roman" w:cs="Calibri"/>
          <w:sz w:val="24"/>
          <w:szCs w:val="24"/>
          <w:lang w:val="es-ES" w:eastAsia="es-ES"/>
        </w:rPr>
        <w:t>Que el artículo 17 de la Ley local establece que son requisitos para ser miembro de un Ayuntamiento, además de los que señalan la Constitución federal y la Constitución local, los siguientes:</w:t>
      </w:r>
    </w:p>
    <w:p w14:paraId="741E1798"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3"/>
        <w:jc w:val="both"/>
        <w:rPr>
          <w:rFonts w:eastAsia="Times New Roman" w:cs="Calibri"/>
          <w:sz w:val="24"/>
          <w:szCs w:val="24"/>
          <w:lang w:val="es-ES" w:eastAsia="es-ES"/>
        </w:rPr>
      </w:pPr>
    </w:p>
    <w:p w14:paraId="417C1BC1"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143"/>
        <w:jc w:val="both"/>
        <w:rPr>
          <w:rFonts w:eastAsia="Times New Roman" w:cs="Calibri"/>
          <w:i/>
          <w:sz w:val="18"/>
          <w:szCs w:val="18"/>
          <w:lang w:val="es-ES" w:eastAsia="es-ES"/>
        </w:rPr>
      </w:pPr>
      <w:r w:rsidRPr="00BE0974">
        <w:rPr>
          <w:rFonts w:eastAsia="Times New Roman" w:cs="Calibri"/>
          <w:i/>
          <w:sz w:val="18"/>
          <w:szCs w:val="18"/>
          <w:lang w:val="es-ES" w:eastAsia="es-ES"/>
        </w:rPr>
        <w:t xml:space="preserve">“I.- </w:t>
      </w:r>
      <w:r w:rsidRPr="00BE0974">
        <w:rPr>
          <w:i/>
          <w:sz w:val="18"/>
          <w:szCs w:val="18"/>
        </w:rPr>
        <w:t>Contar con inscripción en el Registro Federal de Electores</w:t>
      </w:r>
      <w:r w:rsidRPr="00BE0974">
        <w:rPr>
          <w:rFonts w:eastAsia="Times New Roman" w:cs="Calibri"/>
          <w:i/>
          <w:sz w:val="18"/>
          <w:szCs w:val="18"/>
          <w:lang w:val="es-ES" w:eastAsia="es-ES"/>
        </w:rPr>
        <w:t>;</w:t>
      </w:r>
    </w:p>
    <w:p w14:paraId="51418691"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143"/>
        <w:jc w:val="both"/>
        <w:rPr>
          <w:rFonts w:eastAsia="Times New Roman" w:cs="Calibri"/>
          <w:i/>
          <w:sz w:val="18"/>
          <w:szCs w:val="18"/>
          <w:lang w:val="es-ES" w:eastAsia="es-ES"/>
        </w:rPr>
      </w:pPr>
    </w:p>
    <w:p w14:paraId="59D43F24"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143"/>
        <w:jc w:val="both"/>
        <w:rPr>
          <w:rFonts w:eastAsia="Times New Roman" w:cs="Calibri"/>
          <w:i/>
          <w:sz w:val="18"/>
          <w:szCs w:val="18"/>
          <w:lang w:val="es-ES" w:eastAsia="es-ES"/>
        </w:rPr>
      </w:pPr>
      <w:r w:rsidRPr="00BE0974">
        <w:rPr>
          <w:rFonts w:eastAsia="Times New Roman" w:cs="Calibri"/>
          <w:i/>
          <w:sz w:val="18"/>
          <w:szCs w:val="18"/>
          <w:lang w:val="es-ES" w:eastAsia="es-ES"/>
        </w:rPr>
        <w:t>II.- Contar con credencial para votar;</w:t>
      </w:r>
    </w:p>
    <w:p w14:paraId="3E873972" w14:textId="77777777" w:rsidR="006627AA" w:rsidRPr="00BE0974" w:rsidRDefault="006627AA" w:rsidP="006627A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ight="-143"/>
        <w:jc w:val="both"/>
        <w:rPr>
          <w:rFonts w:eastAsia="Times New Roman" w:cs="Calibri"/>
          <w:i/>
          <w:sz w:val="18"/>
          <w:szCs w:val="18"/>
          <w:lang w:val="es-ES" w:eastAsia="es-ES"/>
        </w:rPr>
      </w:pPr>
    </w:p>
    <w:p w14:paraId="64B39D6F" w14:textId="77777777" w:rsidR="006627AA" w:rsidRPr="00BE0974" w:rsidRDefault="006627AA" w:rsidP="006627AA">
      <w:pPr>
        <w:ind w:left="709"/>
        <w:rPr>
          <w:i/>
          <w:sz w:val="18"/>
          <w:szCs w:val="18"/>
        </w:rPr>
      </w:pPr>
      <w:r w:rsidRPr="00BE0974">
        <w:rPr>
          <w:i/>
          <w:sz w:val="18"/>
          <w:szCs w:val="18"/>
        </w:rPr>
        <w:t xml:space="preserve">III. No pertenecer al Servicio Profesional Electoral Nacional, salvo que se separe del cargo tres años antes de la fecha de inicio del proceso electoral de que se trate; </w:t>
      </w:r>
    </w:p>
    <w:p w14:paraId="59AB8F0D" w14:textId="77777777" w:rsidR="006627AA" w:rsidRPr="00BE0974" w:rsidRDefault="006627AA" w:rsidP="006627AA">
      <w:pPr>
        <w:ind w:left="709"/>
        <w:rPr>
          <w:i/>
          <w:sz w:val="18"/>
          <w:szCs w:val="18"/>
        </w:rPr>
      </w:pPr>
      <w:r w:rsidRPr="00BE0974">
        <w:rPr>
          <w:i/>
          <w:sz w:val="18"/>
          <w:szCs w:val="18"/>
        </w:rPr>
        <w:t xml:space="preserve">IV. No ser titular de algún órgano político administrativo, ni ejercer bajo circunstancia alguna las mismas funciones, salvo que se separe del cargo noventa días antes de la fecha de la elección, y </w:t>
      </w:r>
    </w:p>
    <w:p w14:paraId="259BDCDC" w14:textId="77777777" w:rsidR="006627AA" w:rsidRPr="00BE0974" w:rsidRDefault="006627AA" w:rsidP="006627AA">
      <w:pPr>
        <w:ind w:left="709"/>
        <w:rPr>
          <w:i/>
          <w:sz w:val="18"/>
          <w:szCs w:val="18"/>
        </w:rPr>
      </w:pPr>
      <w:r w:rsidRPr="00BE0974">
        <w:rPr>
          <w:i/>
          <w:sz w:val="18"/>
          <w:szCs w:val="18"/>
        </w:rPr>
        <w:t>V. No encontrarse sancionada o sancionado administrativamente mediante sentencia firme o, en su caso, sentenciada o sentenciado penalmente mediante sentencia firme, por violencia política contra las mujeres en razón de género.”</w:t>
      </w:r>
    </w:p>
    <w:p w14:paraId="1F80D4E3" w14:textId="77777777" w:rsidR="00761167" w:rsidRPr="00BE0974" w:rsidRDefault="00761167" w:rsidP="00761167">
      <w:pPr>
        <w:pStyle w:val="Prrafodelista"/>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jc w:val="both"/>
        <w:rPr>
          <w:rFonts w:eastAsia="Times New Roman" w:cs="Calibri"/>
          <w:sz w:val="24"/>
          <w:szCs w:val="24"/>
          <w:lang w:val="es-ES" w:eastAsia="es-ES"/>
        </w:rPr>
      </w:pPr>
    </w:p>
    <w:p w14:paraId="46D5C3D2" w14:textId="2D668538" w:rsidR="00713CE9" w:rsidRPr="00BE0974" w:rsidRDefault="00713CE9" w:rsidP="00713CE9">
      <w:pPr>
        <w:pStyle w:val="Default"/>
        <w:numPr>
          <w:ilvl w:val="0"/>
          <w:numId w:val="21"/>
        </w:numPr>
        <w:ind w:left="0"/>
        <w:jc w:val="both"/>
        <w:rPr>
          <w:rFonts w:asciiTheme="minorHAnsi" w:hAnsiTheme="minorHAnsi" w:cstheme="minorHAnsi"/>
          <w:color w:val="auto"/>
        </w:rPr>
      </w:pPr>
      <w:r w:rsidRPr="00BE0974">
        <w:rPr>
          <w:rFonts w:asciiTheme="minorHAnsi" w:hAnsiTheme="minorHAnsi" w:cstheme="minorHAnsi"/>
          <w:color w:val="auto"/>
        </w:rPr>
        <w:t xml:space="preserve">Que de conformidad con lo establecido en la fracción II del artículo 284 </w:t>
      </w:r>
      <w:r w:rsidR="008411D1" w:rsidRPr="00BE0974">
        <w:rPr>
          <w:rFonts w:asciiTheme="minorHAnsi" w:hAnsiTheme="minorHAnsi" w:cstheme="minorHAnsi"/>
          <w:color w:val="auto"/>
        </w:rPr>
        <w:t xml:space="preserve">y 300 </w:t>
      </w:r>
      <w:r w:rsidRPr="00BE0974">
        <w:rPr>
          <w:rFonts w:asciiTheme="minorHAnsi" w:hAnsiTheme="minorHAnsi" w:cstheme="minorHAnsi"/>
          <w:color w:val="auto"/>
        </w:rPr>
        <w:t>de la Ley local, no habrá modificación a las boletas electorales en caso de cancelación de registro o sustitución de uno o más candidatos, si estas ya estuvieran impresas</w:t>
      </w:r>
      <w:r w:rsidR="008411D1" w:rsidRPr="00BE0974">
        <w:rPr>
          <w:rFonts w:asciiTheme="minorHAnsi" w:hAnsiTheme="minorHAnsi" w:cstheme="minorHAnsi"/>
          <w:color w:val="auto"/>
        </w:rPr>
        <w:t>, en todo caso, los votos contarán para los partidos políticos y los candidatos que estuviesen legalmente registrados.</w:t>
      </w:r>
    </w:p>
    <w:p w14:paraId="53F721C5" w14:textId="297A65B8" w:rsidR="00713CE9" w:rsidRPr="00BE0974" w:rsidRDefault="00713CE9" w:rsidP="00713CE9">
      <w:pPr>
        <w:pStyle w:val="Default"/>
        <w:jc w:val="both"/>
        <w:rPr>
          <w:rFonts w:asciiTheme="minorHAnsi" w:hAnsiTheme="minorHAnsi" w:cstheme="minorHAnsi"/>
          <w:color w:val="auto"/>
        </w:rPr>
      </w:pPr>
    </w:p>
    <w:p w14:paraId="67578898" w14:textId="34C0A2CC" w:rsidR="00CA056E" w:rsidRPr="00BE0974" w:rsidRDefault="008411D1" w:rsidP="00CA056E">
      <w:pPr>
        <w:pStyle w:val="Prrafodelista"/>
        <w:numPr>
          <w:ilvl w:val="0"/>
          <w:numId w:val="21"/>
        </w:numPr>
        <w:spacing w:after="0" w:line="240" w:lineRule="auto"/>
        <w:ind w:left="0"/>
        <w:jc w:val="both"/>
        <w:rPr>
          <w:rFonts w:eastAsia="Times New Roman" w:cs="Arial"/>
          <w:sz w:val="24"/>
          <w:szCs w:val="24"/>
          <w:lang w:eastAsia="es-ES"/>
        </w:rPr>
      </w:pPr>
      <w:r w:rsidRPr="00BE0974">
        <w:rPr>
          <w:rFonts w:cstheme="minorHAnsi"/>
          <w:sz w:val="24"/>
          <w:szCs w:val="24"/>
        </w:rPr>
        <w:t xml:space="preserve">Que el </w:t>
      </w:r>
      <w:r w:rsidR="009A09A2" w:rsidRPr="00BE0974">
        <w:rPr>
          <w:rFonts w:cstheme="minorHAnsi"/>
          <w:sz w:val="24"/>
          <w:szCs w:val="24"/>
        </w:rPr>
        <w:t xml:space="preserve"> </w:t>
      </w:r>
      <w:r w:rsidRPr="00BE0974">
        <w:rPr>
          <w:rFonts w:eastAsia="Times New Roman" w:cs="Arial"/>
          <w:sz w:val="24"/>
          <w:szCs w:val="24"/>
          <w:lang w:eastAsia="es-ES"/>
        </w:rPr>
        <w:t>numeral noveno</w:t>
      </w:r>
      <w:r w:rsidRPr="00BE0974">
        <w:rPr>
          <w:rFonts w:cstheme="minorHAnsi"/>
          <w:sz w:val="24"/>
          <w:szCs w:val="24"/>
        </w:rPr>
        <w:t xml:space="preserve"> de los </w:t>
      </w:r>
      <w:r w:rsidR="00CA056E" w:rsidRPr="00BE0974">
        <w:rPr>
          <w:rFonts w:cstheme="minorHAnsi"/>
          <w:sz w:val="24"/>
          <w:szCs w:val="24"/>
        </w:rPr>
        <w:t xml:space="preserve">Criterios de paridad, </w:t>
      </w:r>
      <w:r w:rsidR="00CA056E" w:rsidRPr="00BE0974">
        <w:rPr>
          <w:rFonts w:eastAsia="Times New Roman" w:cs="Arial"/>
          <w:sz w:val="24"/>
          <w:szCs w:val="24"/>
          <w:lang w:eastAsia="es-ES"/>
        </w:rPr>
        <w:t>señala que las sustituciones de candidaturas que integren la planilla deberán preservar el principio de paridad y alternancia, de tal manera que deberán ser del mismo género que en la planilla original.</w:t>
      </w:r>
    </w:p>
    <w:p w14:paraId="1B7A71F0" w14:textId="77777777" w:rsidR="00CA056E" w:rsidRPr="00BE0974" w:rsidRDefault="00CA056E" w:rsidP="00CA056E">
      <w:pPr>
        <w:pStyle w:val="Default"/>
        <w:jc w:val="both"/>
        <w:rPr>
          <w:rFonts w:asciiTheme="minorHAnsi" w:hAnsiTheme="minorHAnsi" w:cstheme="minorHAnsi"/>
          <w:color w:val="auto"/>
        </w:rPr>
      </w:pPr>
    </w:p>
    <w:p w14:paraId="275D51DE" w14:textId="6446FEEA" w:rsidR="009A09A2" w:rsidRPr="00BE0974" w:rsidRDefault="008411D1" w:rsidP="00CA056E">
      <w:pPr>
        <w:pStyle w:val="Default"/>
        <w:jc w:val="both"/>
        <w:rPr>
          <w:rFonts w:asciiTheme="minorHAnsi" w:hAnsiTheme="minorHAnsi" w:cstheme="minorHAnsi"/>
          <w:color w:val="auto"/>
        </w:rPr>
      </w:pPr>
      <w:r w:rsidRPr="00BE0974">
        <w:rPr>
          <w:rFonts w:asciiTheme="minorHAnsi" w:hAnsiTheme="minorHAnsi" w:cstheme="minorHAnsi"/>
          <w:color w:val="auto"/>
        </w:rPr>
        <w:t>Aunado a lo anterior</w:t>
      </w:r>
      <w:r w:rsidR="00CA056E" w:rsidRPr="00BE0974">
        <w:rPr>
          <w:rFonts w:asciiTheme="minorHAnsi" w:hAnsiTheme="minorHAnsi" w:cstheme="minorHAnsi"/>
          <w:color w:val="auto"/>
        </w:rPr>
        <w:t xml:space="preserve">, </w:t>
      </w:r>
      <w:r w:rsidRPr="00BE0974">
        <w:rPr>
          <w:rFonts w:asciiTheme="minorHAnsi" w:hAnsiTheme="minorHAnsi" w:cstheme="minorHAnsi"/>
          <w:color w:val="auto"/>
        </w:rPr>
        <w:t xml:space="preserve">el numeral vigésimo primero de los </w:t>
      </w:r>
      <w:r w:rsidR="009A09A2" w:rsidRPr="00BE0974">
        <w:rPr>
          <w:rFonts w:asciiTheme="minorHAnsi" w:hAnsiTheme="minorHAnsi" w:cstheme="minorHAnsi"/>
          <w:color w:val="auto"/>
        </w:rPr>
        <w:t xml:space="preserve">Criterios de </w:t>
      </w:r>
      <w:r w:rsidRPr="00BE0974">
        <w:rPr>
          <w:rFonts w:asciiTheme="minorHAnsi" w:hAnsiTheme="minorHAnsi" w:cstheme="minorHAnsi"/>
          <w:color w:val="auto"/>
        </w:rPr>
        <w:t>registro</w:t>
      </w:r>
      <w:r w:rsidR="00CA056E" w:rsidRPr="00BE0974">
        <w:rPr>
          <w:rFonts w:asciiTheme="minorHAnsi" w:hAnsiTheme="minorHAnsi" w:cstheme="minorHAnsi"/>
          <w:color w:val="auto"/>
        </w:rPr>
        <w:t>, establece que</w:t>
      </w:r>
      <w:r w:rsidR="00CA056E" w:rsidRPr="00BE0974">
        <w:rPr>
          <w:rFonts w:asciiTheme="minorHAnsi" w:eastAsia="Times New Roman" w:hAnsiTheme="minorHAnsi" w:cstheme="minorHAnsi"/>
          <w:color w:val="auto"/>
          <w:u w:color="000000"/>
          <w:bdr w:val="nil"/>
          <w:lang w:eastAsia="es-MX"/>
        </w:rPr>
        <w:t xml:space="preserve"> las sustituciones de candidatas y candidatos deberán presentarse por escrito, respetando las reglas de paridad y las acciones afirmativas en favor de jóvenes e indígenas.</w:t>
      </w:r>
    </w:p>
    <w:p w14:paraId="47EDC813" w14:textId="77777777" w:rsidR="009A09A2" w:rsidRPr="00BE0974" w:rsidRDefault="009A09A2" w:rsidP="009A09A2">
      <w:pPr>
        <w:pStyle w:val="Default"/>
        <w:jc w:val="both"/>
        <w:rPr>
          <w:rFonts w:asciiTheme="minorHAnsi" w:hAnsiTheme="minorHAnsi" w:cstheme="minorHAnsi"/>
          <w:color w:val="auto"/>
        </w:rPr>
      </w:pPr>
    </w:p>
    <w:p w14:paraId="6C2CAC29" w14:textId="0DE084D0" w:rsidR="00236EEF" w:rsidRPr="00BE0974" w:rsidRDefault="0078391A" w:rsidP="00236EEF">
      <w:pPr>
        <w:pStyle w:val="Default"/>
        <w:numPr>
          <w:ilvl w:val="0"/>
          <w:numId w:val="21"/>
        </w:numPr>
        <w:ind w:left="0"/>
        <w:jc w:val="both"/>
        <w:rPr>
          <w:rFonts w:asciiTheme="minorHAnsi" w:hAnsiTheme="minorHAnsi" w:cstheme="minorHAnsi"/>
          <w:color w:val="auto"/>
        </w:rPr>
      </w:pPr>
      <w:r w:rsidRPr="00BE0974">
        <w:rPr>
          <w:rFonts w:asciiTheme="minorHAnsi" w:hAnsiTheme="minorHAnsi" w:cstheme="minorHAnsi"/>
          <w:color w:val="auto"/>
        </w:rPr>
        <w:t xml:space="preserve">Que </w:t>
      </w:r>
      <w:r w:rsidR="00713CE9" w:rsidRPr="00BE0974">
        <w:rPr>
          <w:rFonts w:asciiTheme="minorHAnsi" w:hAnsiTheme="minorHAnsi" w:cstheme="minorHAnsi"/>
          <w:color w:val="auto"/>
        </w:rPr>
        <w:t xml:space="preserve">en el </w:t>
      </w:r>
      <w:r w:rsidR="00236EEF" w:rsidRPr="00BE0974">
        <w:rPr>
          <w:rFonts w:asciiTheme="minorHAnsi" w:eastAsia="Times New Roman" w:hAnsiTheme="minorHAnsi" w:cstheme="minorHAnsi"/>
          <w:color w:val="auto"/>
          <w:lang w:eastAsia="es-ES"/>
        </w:rPr>
        <w:t xml:space="preserve">párrafo </w:t>
      </w:r>
      <w:r w:rsidR="00B3309B" w:rsidRPr="00BE0974">
        <w:rPr>
          <w:rFonts w:asciiTheme="minorHAnsi" w:eastAsia="Times New Roman" w:hAnsiTheme="minorHAnsi" w:cstheme="minorHAnsi"/>
          <w:color w:val="auto"/>
          <w:lang w:eastAsia="es-ES"/>
        </w:rPr>
        <w:t>171</w:t>
      </w:r>
      <w:r w:rsidR="00236EEF" w:rsidRPr="00BE0974">
        <w:rPr>
          <w:rFonts w:asciiTheme="minorHAnsi" w:eastAsia="Times New Roman" w:hAnsiTheme="minorHAnsi" w:cstheme="minorHAnsi"/>
          <w:color w:val="auto"/>
          <w:lang w:eastAsia="es-ES"/>
        </w:rPr>
        <w:t xml:space="preserve"> </w:t>
      </w:r>
      <w:r w:rsidR="00CF405A" w:rsidRPr="00BE0974">
        <w:rPr>
          <w:rFonts w:asciiTheme="minorHAnsi" w:eastAsia="Times New Roman" w:hAnsiTheme="minorHAnsi" w:cstheme="minorHAnsi"/>
          <w:color w:val="auto"/>
          <w:lang w:eastAsia="es-ES"/>
        </w:rPr>
        <w:t>de la Sentencia</w:t>
      </w:r>
      <w:r w:rsidR="00713CE9" w:rsidRPr="00BE0974">
        <w:rPr>
          <w:rFonts w:asciiTheme="minorHAnsi" w:eastAsia="Times New Roman" w:hAnsiTheme="minorHAnsi" w:cstheme="minorHAnsi"/>
          <w:color w:val="auto"/>
          <w:lang w:eastAsia="es-ES"/>
        </w:rPr>
        <w:t xml:space="preserve"> referida en el Antecedente </w:t>
      </w:r>
      <w:r w:rsidR="00E50A0F" w:rsidRPr="00BE0974">
        <w:rPr>
          <w:rFonts w:asciiTheme="minorHAnsi" w:eastAsia="Times New Roman" w:hAnsiTheme="minorHAnsi" w:cstheme="minorHAnsi"/>
          <w:color w:val="auto"/>
          <w:lang w:eastAsia="es-ES"/>
        </w:rPr>
        <w:t>V</w:t>
      </w:r>
      <w:r w:rsidR="00713CE9" w:rsidRPr="00BE0974">
        <w:rPr>
          <w:rFonts w:asciiTheme="minorHAnsi" w:eastAsia="Times New Roman" w:hAnsiTheme="minorHAnsi" w:cstheme="minorHAnsi"/>
          <w:color w:val="auto"/>
          <w:lang w:eastAsia="es-ES"/>
        </w:rPr>
        <w:t>, se</w:t>
      </w:r>
      <w:r w:rsidR="00CF405A" w:rsidRPr="00BE0974">
        <w:rPr>
          <w:rFonts w:asciiTheme="minorHAnsi" w:eastAsia="Times New Roman" w:hAnsiTheme="minorHAnsi" w:cstheme="minorHAnsi"/>
          <w:color w:val="auto"/>
          <w:lang w:eastAsia="es-ES"/>
        </w:rPr>
        <w:t xml:space="preserve"> establece a la</w:t>
      </w:r>
      <w:r w:rsidR="00236EEF" w:rsidRPr="00BE0974">
        <w:rPr>
          <w:rFonts w:asciiTheme="minorHAnsi" w:eastAsia="Times New Roman" w:hAnsiTheme="minorHAnsi" w:cstheme="minorHAnsi"/>
          <w:color w:val="auto"/>
          <w:lang w:eastAsia="es-ES"/>
        </w:rPr>
        <w:t xml:space="preserve"> literalidad lo siguiente:</w:t>
      </w:r>
    </w:p>
    <w:p w14:paraId="555D5271" w14:textId="2D302782" w:rsidR="00652B5B" w:rsidRPr="00BE0974" w:rsidRDefault="00652B5B" w:rsidP="00652B5B">
      <w:pPr>
        <w:pStyle w:val="Prrafodelista"/>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jc w:val="both"/>
        <w:rPr>
          <w:rFonts w:eastAsia="Times New Roman" w:cs="Calibri"/>
          <w:sz w:val="24"/>
          <w:szCs w:val="24"/>
          <w:lang w:val="es-ES" w:eastAsia="es-ES"/>
        </w:rPr>
      </w:pPr>
    </w:p>
    <w:p w14:paraId="2241F936" w14:textId="6B84D1DB" w:rsidR="00711499" w:rsidRPr="00BE0974" w:rsidRDefault="00711499" w:rsidP="00711499">
      <w:pPr>
        <w:autoSpaceDE w:val="0"/>
        <w:autoSpaceDN w:val="0"/>
        <w:adjustRightInd w:val="0"/>
        <w:spacing w:after="0" w:line="240" w:lineRule="auto"/>
        <w:ind w:left="567"/>
        <w:jc w:val="both"/>
        <w:rPr>
          <w:rFonts w:cstheme="minorHAnsi"/>
          <w:i/>
          <w:sz w:val="20"/>
          <w:szCs w:val="20"/>
        </w:rPr>
      </w:pPr>
      <w:r w:rsidRPr="00BE0974">
        <w:rPr>
          <w:rFonts w:cstheme="minorHAnsi"/>
          <w:b/>
          <w:bCs/>
          <w:i/>
          <w:sz w:val="20"/>
          <w:szCs w:val="20"/>
        </w:rPr>
        <w:t xml:space="preserve">“171. </w:t>
      </w:r>
      <w:r w:rsidRPr="00BE0974">
        <w:rPr>
          <w:rFonts w:cstheme="minorHAnsi"/>
          <w:i/>
          <w:sz w:val="20"/>
          <w:szCs w:val="20"/>
        </w:rPr>
        <w:t xml:space="preserve">En concepto de esta Sala Regional, al resultar </w:t>
      </w:r>
      <w:r w:rsidRPr="00BE0974">
        <w:rPr>
          <w:rFonts w:cstheme="minorHAnsi"/>
          <w:b/>
          <w:bCs/>
          <w:i/>
          <w:sz w:val="20"/>
          <w:szCs w:val="20"/>
        </w:rPr>
        <w:t xml:space="preserve">fundados </w:t>
      </w:r>
      <w:r w:rsidRPr="00BE0974">
        <w:rPr>
          <w:rFonts w:cstheme="minorHAnsi"/>
          <w:i/>
          <w:sz w:val="20"/>
          <w:szCs w:val="20"/>
        </w:rPr>
        <w:t xml:space="preserve">los agravios relacionados con el indebido análisis relativo a la violencia política por razón de género por cuanto hace a las conductas atribuidas a Luis Gamero Barranco, lo procedente es </w:t>
      </w:r>
      <w:r w:rsidRPr="00BE0974">
        <w:rPr>
          <w:rFonts w:cstheme="minorHAnsi"/>
          <w:b/>
          <w:bCs/>
          <w:i/>
          <w:sz w:val="20"/>
          <w:szCs w:val="20"/>
        </w:rPr>
        <w:t xml:space="preserve">modificar </w:t>
      </w:r>
      <w:r w:rsidRPr="00BE0974">
        <w:rPr>
          <w:rFonts w:cstheme="minorHAnsi"/>
          <w:i/>
          <w:sz w:val="20"/>
          <w:szCs w:val="20"/>
        </w:rPr>
        <w:t>la sentencia controvertida, en lo que fue materia de impugnación, para los efectos que a continuación se precisan:</w:t>
      </w:r>
    </w:p>
    <w:p w14:paraId="58025526" w14:textId="77777777" w:rsidR="00711499" w:rsidRPr="00BE0974" w:rsidRDefault="00711499" w:rsidP="00711499">
      <w:pPr>
        <w:autoSpaceDE w:val="0"/>
        <w:autoSpaceDN w:val="0"/>
        <w:adjustRightInd w:val="0"/>
        <w:spacing w:after="0" w:line="240" w:lineRule="auto"/>
        <w:jc w:val="both"/>
        <w:rPr>
          <w:rFonts w:cstheme="minorHAnsi"/>
          <w:i/>
          <w:sz w:val="20"/>
          <w:szCs w:val="20"/>
        </w:rPr>
      </w:pPr>
    </w:p>
    <w:p w14:paraId="6C89660C" w14:textId="77777777"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lastRenderedPageBreak/>
        <w:t xml:space="preserve">Se </w:t>
      </w:r>
      <w:r w:rsidRPr="00BE0974">
        <w:rPr>
          <w:rFonts w:cstheme="minorHAnsi"/>
          <w:b/>
          <w:bCs/>
          <w:i/>
          <w:sz w:val="20"/>
          <w:szCs w:val="20"/>
        </w:rPr>
        <w:t xml:space="preserve">dejan intocados </w:t>
      </w:r>
      <w:r w:rsidRPr="00BE0974">
        <w:rPr>
          <w:rFonts w:cstheme="minorHAnsi"/>
          <w:i/>
          <w:sz w:val="20"/>
          <w:szCs w:val="20"/>
        </w:rPr>
        <w:t>los razonamientos del Tribunal local relacionados con las conductas atribuibles a Ma Del Carmen Sánchez Jaime, Milton Candelario Conde Marfil y Brian Adrián Encalada Canela, pues los mismos no fueron controvertidos.</w:t>
      </w:r>
    </w:p>
    <w:p w14:paraId="6E1CD2FE" w14:textId="77777777" w:rsidR="00711499" w:rsidRPr="00BE0974" w:rsidRDefault="00711499" w:rsidP="00711499">
      <w:pPr>
        <w:pStyle w:val="Prrafodelista"/>
        <w:autoSpaceDE w:val="0"/>
        <w:autoSpaceDN w:val="0"/>
        <w:adjustRightInd w:val="0"/>
        <w:spacing w:after="0" w:line="240" w:lineRule="auto"/>
        <w:ind w:left="1276"/>
        <w:jc w:val="both"/>
        <w:rPr>
          <w:rFonts w:cstheme="minorHAnsi"/>
          <w:i/>
          <w:sz w:val="20"/>
          <w:szCs w:val="20"/>
        </w:rPr>
      </w:pPr>
    </w:p>
    <w:p w14:paraId="62D74532" w14:textId="77777777"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Se </w:t>
      </w:r>
      <w:r w:rsidRPr="00BE0974">
        <w:rPr>
          <w:rFonts w:cstheme="minorHAnsi"/>
          <w:b/>
          <w:bCs/>
          <w:i/>
          <w:sz w:val="20"/>
          <w:szCs w:val="20"/>
        </w:rPr>
        <w:t xml:space="preserve">revoca </w:t>
      </w:r>
      <w:r w:rsidRPr="00BE0974">
        <w:rPr>
          <w:rFonts w:cstheme="minorHAnsi"/>
          <w:i/>
          <w:sz w:val="20"/>
          <w:szCs w:val="20"/>
        </w:rPr>
        <w:t>la sentencia impugnada por cuanto hace al análisis de la conducta atribuible a Luis Gamero Barranco.</w:t>
      </w:r>
    </w:p>
    <w:p w14:paraId="778670CB" w14:textId="77777777" w:rsidR="00711499" w:rsidRPr="00BE0974" w:rsidRDefault="00711499" w:rsidP="00711499">
      <w:pPr>
        <w:pStyle w:val="Prrafodelista"/>
        <w:autoSpaceDE w:val="0"/>
        <w:autoSpaceDN w:val="0"/>
        <w:adjustRightInd w:val="0"/>
        <w:spacing w:after="0" w:line="240" w:lineRule="auto"/>
        <w:ind w:left="1276"/>
        <w:jc w:val="both"/>
        <w:rPr>
          <w:rFonts w:cstheme="minorHAnsi"/>
          <w:i/>
          <w:sz w:val="20"/>
          <w:szCs w:val="20"/>
        </w:rPr>
      </w:pPr>
    </w:p>
    <w:p w14:paraId="7BA20F95" w14:textId="77777777"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Se </w:t>
      </w:r>
      <w:r w:rsidRPr="00BE0974">
        <w:rPr>
          <w:rFonts w:cstheme="minorHAnsi"/>
          <w:b/>
          <w:bCs/>
          <w:i/>
          <w:sz w:val="20"/>
          <w:szCs w:val="20"/>
        </w:rPr>
        <w:t>declara la existencia de violencia política contra la mujer por razón de género</w:t>
      </w:r>
      <w:r w:rsidRPr="00BE0974">
        <w:rPr>
          <w:rFonts w:cstheme="minorHAnsi"/>
          <w:i/>
          <w:sz w:val="20"/>
          <w:szCs w:val="20"/>
        </w:rPr>
        <w:t>, cometida por Luis Gamero Barranco en contra de Yensunni Idalia Martínez Hernández.</w:t>
      </w:r>
    </w:p>
    <w:p w14:paraId="133CC071"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1CAF6587" w14:textId="77777777"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Se </w:t>
      </w:r>
      <w:r w:rsidRPr="00BE0974">
        <w:rPr>
          <w:rFonts w:cstheme="minorHAnsi"/>
          <w:b/>
          <w:bCs/>
          <w:i/>
          <w:sz w:val="20"/>
          <w:szCs w:val="20"/>
        </w:rPr>
        <w:t xml:space="preserve">ordena </w:t>
      </w:r>
      <w:r w:rsidRPr="00BE0974">
        <w:rPr>
          <w:rFonts w:cstheme="minorHAnsi"/>
          <w:i/>
          <w:sz w:val="20"/>
          <w:szCs w:val="20"/>
        </w:rPr>
        <w:t>a Luis Gamero Barranco abstenerse de realizar acciones u omisiones que de manera directa o indirecta tengan por objeto o resultado, intimidar, molestar o causar un daño, perjuicio u obstaculizar el ejercicio del derecho de ser votada de la ahora actora como candidata a Síndica Municipal de Othón P. Blanco, Quintana Roo.</w:t>
      </w:r>
    </w:p>
    <w:p w14:paraId="0FD6A18C" w14:textId="77777777" w:rsidR="00711499" w:rsidRPr="00BE0974" w:rsidRDefault="00711499" w:rsidP="00711499">
      <w:pPr>
        <w:pStyle w:val="Prrafodelista"/>
        <w:ind w:left="1276"/>
        <w:rPr>
          <w:rFonts w:cstheme="minorHAnsi"/>
          <w:b/>
          <w:bCs/>
          <w:i/>
          <w:sz w:val="20"/>
          <w:szCs w:val="20"/>
        </w:rPr>
      </w:pPr>
    </w:p>
    <w:p w14:paraId="38001F7F" w14:textId="097947CB"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Se </w:t>
      </w:r>
      <w:r w:rsidRPr="00BE0974">
        <w:rPr>
          <w:rFonts w:cstheme="minorHAnsi"/>
          <w:b/>
          <w:bCs/>
          <w:i/>
          <w:sz w:val="20"/>
          <w:szCs w:val="20"/>
        </w:rPr>
        <w:t xml:space="preserve">dejan subsistentes </w:t>
      </w:r>
      <w:r w:rsidRPr="00BE0974">
        <w:rPr>
          <w:rFonts w:cstheme="minorHAnsi"/>
          <w:i/>
          <w:sz w:val="20"/>
          <w:szCs w:val="20"/>
        </w:rPr>
        <w:t>las medidas de seguridad ordenadas por el Instituto Electoral local en el acuerdo IEQROO/CQyD/AMC- 010/2021, de</w:t>
      </w:r>
      <w:r w:rsidR="00BB0C1B" w:rsidRPr="00BE0974">
        <w:rPr>
          <w:rFonts w:cstheme="minorHAnsi"/>
          <w:i/>
          <w:sz w:val="20"/>
          <w:szCs w:val="20"/>
        </w:rPr>
        <w:t>l</w:t>
      </w:r>
      <w:r w:rsidRPr="00BE0974">
        <w:rPr>
          <w:rFonts w:cstheme="minorHAnsi"/>
          <w:i/>
          <w:sz w:val="20"/>
          <w:szCs w:val="20"/>
        </w:rPr>
        <w:t xml:space="preserve"> veintiocho de marzo del año en curso, por lo que dicha autoridad deberá vigilar el cumplimiento de la medida ordenada.</w:t>
      </w:r>
    </w:p>
    <w:p w14:paraId="77C52858" w14:textId="77777777" w:rsidR="00711499" w:rsidRPr="00BE0974" w:rsidRDefault="00711499" w:rsidP="00711499">
      <w:pPr>
        <w:pStyle w:val="Prrafodelista"/>
        <w:ind w:left="1276"/>
        <w:rPr>
          <w:rFonts w:cstheme="minorHAnsi"/>
          <w:b/>
          <w:bCs/>
          <w:i/>
          <w:sz w:val="20"/>
          <w:szCs w:val="20"/>
        </w:rPr>
      </w:pPr>
    </w:p>
    <w:p w14:paraId="61A9B6AC" w14:textId="12D93438"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Se </w:t>
      </w:r>
      <w:r w:rsidRPr="00BE0974">
        <w:rPr>
          <w:rFonts w:cstheme="minorHAnsi"/>
          <w:b/>
          <w:bCs/>
          <w:i/>
          <w:sz w:val="20"/>
          <w:szCs w:val="20"/>
        </w:rPr>
        <w:t xml:space="preserve">da vista </w:t>
      </w:r>
      <w:r w:rsidRPr="00BE0974">
        <w:rPr>
          <w:rFonts w:cstheme="minorHAnsi"/>
          <w:i/>
          <w:sz w:val="20"/>
          <w:szCs w:val="20"/>
        </w:rPr>
        <w:t>al Consejo General del IEQROO para que registre a Luis Gamero Barranco en el Registro Estatal de Personas Sancionadas en Materia de Violencia Política Contra las Mujeres en Razón de Género de Quintana Roo y realice la comunicación respectiva al Instituto Nacional Electoral para su inscripción en el Registro Nacional.</w:t>
      </w:r>
    </w:p>
    <w:p w14:paraId="46D1C451" w14:textId="77777777" w:rsidR="00711499" w:rsidRPr="00BE0974" w:rsidRDefault="00711499" w:rsidP="00711499">
      <w:pPr>
        <w:pStyle w:val="Prrafodelista"/>
        <w:autoSpaceDE w:val="0"/>
        <w:autoSpaceDN w:val="0"/>
        <w:adjustRightInd w:val="0"/>
        <w:spacing w:after="0" w:line="240" w:lineRule="auto"/>
        <w:ind w:left="1276"/>
        <w:jc w:val="both"/>
        <w:rPr>
          <w:rFonts w:cstheme="minorHAnsi"/>
          <w:i/>
          <w:sz w:val="20"/>
          <w:szCs w:val="20"/>
        </w:rPr>
      </w:pPr>
    </w:p>
    <w:p w14:paraId="78653D7A" w14:textId="77777777" w:rsidR="00711499" w:rsidRPr="00BE0974" w:rsidRDefault="00711499" w:rsidP="00711499">
      <w:pPr>
        <w:autoSpaceDE w:val="0"/>
        <w:autoSpaceDN w:val="0"/>
        <w:adjustRightInd w:val="0"/>
        <w:spacing w:after="0" w:line="240" w:lineRule="auto"/>
        <w:ind w:left="1276"/>
        <w:jc w:val="both"/>
        <w:rPr>
          <w:rFonts w:cstheme="minorHAnsi"/>
          <w:b/>
          <w:bCs/>
          <w:i/>
          <w:sz w:val="20"/>
          <w:szCs w:val="20"/>
        </w:rPr>
      </w:pPr>
      <w:r w:rsidRPr="00BE0974">
        <w:rPr>
          <w:rFonts w:cstheme="minorHAnsi"/>
          <w:i/>
          <w:sz w:val="20"/>
          <w:szCs w:val="20"/>
        </w:rPr>
        <w:t xml:space="preserve">Para tal efecto, se califica la falta como </w:t>
      </w:r>
      <w:r w:rsidRPr="00BE0974">
        <w:rPr>
          <w:rFonts w:cstheme="minorHAnsi"/>
          <w:b/>
          <w:bCs/>
          <w:i/>
          <w:sz w:val="20"/>
          <w:szCs w:val="20"/>
        </w:rPr>
        <w:t>ordinaria</w:t>
      </w:r>
      <w:r w:rsidRPr="00BE0974">
        <w:rPr>
          <w:rFonts w:cstheme="minorHAnsi"/>
          <w:i/>
          <w:sz w:val="20"/>
          <w:szCs w:val="20"/>
        </w:rPr>
        <w:t xml:space="preserve">, por lo que la permanencia del ciudadano en el citado Registro será de </w:t>
      </w:r>
      <w:r w:rsidRPr="00BE0974">
        <w:rPr>
          <w:rFonts w:cstheme="minorHAnsi"/>
          <w:b/>
          <w:bCs/>
          <w:i/>
          <w:sz w:val="20"/>
          <w:szCs w:val="20"/>
        </w:rPr>
        <w:t>5 años cuatro meses.</w:t>
      </w:r>
    </w:p>
    <w:p w14:paraId="5EF45A4B" w14:textId="77777777" w:rsidR="00711499" w:rsidRPr="00BE0974" w:rsidRDefault="00711499" w:rsidP="00711499">
      <w:pPr>
        <w:autoSpaceDE w:val="0"/>
        <w:autoSpaceDN w:val="0"/>
        <w:adjustRightInd w:val="0"/>
        <w:spacing w:after="0" w:line="240" w:lineRule="auto"/>
        <w:ind w:left="1276"/>
        <w:jc w:val="both"/>
        <w:rPr>
          <w:rFonts w:cstheme="minorHAnsi"/>
          <w:b/>
          <w:bCs/>
          <w:i/>
          <w:sz w:val="20"/>
          <w:szCs w:val="20"/>
        </w:rPr>
      </w:pPr>
    </w:p>
    <w:p w14:paraId="5F38DB84"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Lo anterior, debido a que de las circunstancias que han sido señaladas en los párrafos previos, queda acreditado que Luis Gamero Barranco presentó ante el Instituto Electoral local documentación signada por él, con la cual pretendió sustituir a la ahora actora, aun sin tener atribuciones para poder realizar dicho acto.</w:t>
      </w:r>
    </w:p>
    <w:p w14:paraId="234A42DA"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72F36E3F"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Tal circunstancia cobra especial relevancia en el particular, debido a que se hace patente la intención del ciudadano de llevar a cabo por todos los medios, la sustitución de la actora, al grado de arrogarse facultades que no le son propias.</w:t>
      </w:r>
    </w:p>
    <w:p w14:paraId="7FD96AE8"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52E74895"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Además, el propio actor realizó una serie de actos con la finalidad de obstruir el ejercicio del derecho a ser votada de Yensunni Idalia Martínez Hernández, lo cual incluso se realizó en un contexto de violencia, por lo que en el particular se está en presencia de una concurrencia de actos.</w:t>
      </w:r>
    </w:p>
    <w:p w14:paraId="0DD8512D"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3EAEE50B"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En este contexto, si bien la ahora actora fue postulada como candidata a síndica municipal del Ayuntamiento de Othón P. Blanco, Quintana Roo, tal como se advierte del acuerdo IEQROO/CG/A-111-021 emitido por el Instituto Electoral local, también lo es que quedó demostrada la intencionalidad de Luis Gamero Barranco de realizar los actos que han sido señalados.</w:t>
      </w:r>
    </w:p>
    <w:p w14:paraId="5695AB97"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46E49C77"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Este criterio es consistente con lo sostenido por este órgano jurisdiccional en el sentido de que la gradualidad de la sanción se debe determinar acorde con las circunstancias del caso</w:t>
      </w:r>
    </w:p>
    <w:p w14:paraId="4B536E8D"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particular.</w:t>
      </w:r>
    </w:p>
    <w:p w14:paraId="5AC4F196"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5074E394"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 xml:space="preserve">Bajo esta perspectiva es que a juicio de esta Sala Regional la calificativa de la infracción debe ser catalogada como </w:t>
      </w:r>
      <w:r w:rsidRPr="00BE0974">
        <w:rPr>
          <w:rFonts w:cstheme="minorHAnsi"/>
          <w:b/>
          <w:bCs/>
          <w:i/>
          <w:sz w:val="20"/>
          <w:szCs w:val="20"/>
        </w:rPr>
        <w:t>ordinaria</w:t>
      </w:r>
      <w:r w:rsidRPr="00BE0974">
        <w:rPr>
          <w:rFonts w:cstheme="minorHAnsi"/>
          <w:i/>
          <w:sz w:val="20"/>
          <w:szCs w:val="20"/>
        </w:rPr>
        <w:t>.</w:t>
      </w:r>
    </w:p>
    <w:p w14:paraId="2F4B87AC" w14:textId="77777777" w:rsidR="00711499" w:rsidRPr="00BE0974" w:rsidRDefault="00711499" w:rsidP="00711499">
      <w:pPr>
        <w:autoSpaceDE w:val="0"/>
        <w:autoSpaceDN w:val="0"/>
        <w:adjustRightInd w:val="0"/>
        <w:spacing w:after="0" w:line="240" w:lineRule="auto"/>
        <w:ind w:left="1276"/>
        <w:jc w:val="both"/>
        <w:rPr>
          <w:rFonts w:cstheme="minorHAnsi"/>
          <w:i/>
          <w:sz w:val="20"/>
          <w:szCs w:val="20"/>
        </w:rPr>
      </w:pPr>
    </w:p>
    <w:p w14:paraId="7FA0A254" w14:textId="77777777"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lastRenderedPageBreak/>
        <w:t xml:space="preserve">Derivado de lo anterior, se da </w:t>
      </w:r>
      <w:r w:rsidRPr="00BE0974">
        <w:rPr>
          <w:rFonts w:cstheme="minorHAnsi"/>
          <w:b/>
          <w:bCs/>
          <w:i/>
          <w:sz w:val="20"/>
          <w:szCs w:val="20"/>
        </w:rPr>
        <w:t xml:space="preserve">vista </w:t>
      </w:r>
      <w:r w:rsidRPr="00BE0974">
        <w:rPr>
          <w:rFonts w:cstheme="minorHAnsi"/>
          <w:i/>
          <w:sz w:val="20"/>
          <w:szCs w:val="20"/>
        </w:rPr>
        <w:t>al Instituto Estatal Electoral de Quintana Roo, para que en el ámbito de sus atribuciones determine lo que en Derecho corresponda respecto del registro otorgado a Luis Gamero Barranco, como candidato a la Presidencia Municipal de Othón P. Blanco, Quintana Roo, postulado por la Coalición “Juntos Haremos Historia en Quintana Roo”.</w:t>
      </w:r>
    </w:p>
    <w:p w14:paraId="50807058" w14:textId="77777777" w:rsidR="00711499" w:rsidRPr="00BE0974" w:rsidRDefault="00711499" w:rsidP="00711499">
      <w:pPr>
        <w:pStyle w:val="Prrafodelista"/>
        <w:autoSpaceDE w:val="0"/>
        <w:autoSpaceDN w:val="0"/>
        <w:adjustRightInd w:val="0"/>
        <w:spacing w:after="0" w:line="240" w:lineRule="auto"/>
        <w:ind w:left="1276"/>
        <w:jc w:val="both"/>
        <w:rPr>
          <w:rFonts w:cstheme="minorHAnsi"/>
          <w:i/>
          <w:sz w:val="20"/>
          <w:szCs w:val="20"/>
        </w:rPr>
      </w:pPr>
    </w:p>
    <w:p w14:paraId="6A62B54F" w14:textId="03702B39" w:rsidR="00711499" w:rsidRPr="00BE0974" w:rsidRDefault="00711499" w:rsidP="00711499">
      <w:pPr>
        <w:pStyle w:val="Prrafodelista"/>
        <w:numPr>
          <w:ilvl w:val="0"/>
          <w:numId w:val="33"/>
        </w:numPr>
        <w:autoSpaceDE w:val="0"/>
        <w:autoSpaceDN w:val="0"/>
        <w:adjustRightInd w:val="0"/>
        <w:spacing w:after="0" w:line="240" w:lineRule="auto"/>
        <w:ind w:left="1276"/>
        <w:jc w:val="both"/>
        <w:rPr>
          <w:rFonts w:cstheme="minorHAnsi"/>
          <w:i/>
          <w:sz w:val="20"/>
          <w:szCs w:val="20"/>
        </w:rPr>
      </w:pPr>
      <w:r w:rsidRPr="00BE0974">
        <w:rPr>
          <w:rFonts w:cstheme="minorHAnsi"/>
          <w:i/>
          <w:sz w:val="20"/>
          <w:szCs w:val="20"/>
        </w:rPr>
        <w:t>Como garantía de satisfacción, se ordena al Tribunal responsable difundir la presente ejecutoria en su sitio electrónico.”</w:t>
      </w:r>
    </w:p>
    <w:p w14:paraId="4EB846F1" w14:textId="6F3A04C9" w:rsidR="0078391A" w:rsidRPr="00BE0974" w:rsidRDefault="0078391A" w:rsidP="004C0FDA">
      <w:pPr>
        <w:jc w:val="both"/>
        <w:rPr>
          <w:rFonts w:eastAsia="Times New Roman" w:cs="Calibri"/>
          <w:sz w:val="24"/>
          <w:szCs w:val="24"/>
          <w:lang w:val="es-ES" w:eastAsia="es-ES"/>
        </w:rPr>
      </w:pPr>
    </w:p>
    <w:p w14:paraId="0BD3F523" w14:textId="43CB9D72" w:rsidR="00BB0C1B" w:rsidRPr="00BE0974" w:rsidRDefault="00BB0C1B" w:rsidP="005A39EB">
      <w:pPr>
        <w:spacing w:after="0"/>
        <w:jc w:val="both"/>
        <w:rPr>
          <w:rFonts w:eastAsia="Times New Roman" w:cs="Calibri"/>
          <w:sz w:val="24"/>
          <w:szCs w:val="24"/>
          <w:lang w:val="es-ES" w:eastAsia="es-ES"/>
        </w:rPr>
      </w:pPr>
      <w:r w:rsidRPr="00BE0974">
        <w:rPr>
          <w:rFonts w:eastAsia="Times New Roman" w:cs="Calibri"/>
          <w:sz w:val="24"/>
          <w:szCs w:val="24"/>
          <w:lang w:val="es-ES" w:eastAsia="es-ES"/>
        </w:rPr>
        <w:t xml:space="preserve">En tal sentido, este órgano de máxima dirección, en cumplimiento al inciso e) del párrafo 171 de la Sentencia, determina instruir a la Dirección Jurídica del Instituto </w:t>
      </w:r>
      <w:r w:rsidR="00AF52A1" w:rsidRPr="00BE0974">
        <w:rPr>
          <w:rFonts w:eastAsia="Times New Roman" w:cs="Calibri"/>
          <w:sz w:val="24"/>
          <w:szCs w:val="24"/>
          <w:lang w:val="es-ES" w:eastAsia="es-ES"/>
        </w:rPr>
        <w:t xml:space="preserve">a </w:t>
      </w:r>
      <w:r w:rsidR="005B174D" w:rsidRPr="00BE0974">
        <w:rPr>
          <w:rFonts w:eastAsia="Times New Roman" w:cs="Calibri"/>
          <w:sz w:val="24"/>
          <w:szCs w:val="24"/>
          <w:lang w:val="es-ES" w:eastAsia="es-ES"/>
        </w:rPr>
        <w:t>vigil</w:t>
      </w:r>
      <w:r w:rsidR="00AF52A1" w:rsidRPr="00BE0974">
        <w:rPr>
          <w:rFonts w:eastAsia="Times New Roman" w:cs="Calibri"/>
          <w:sz w:val="24"/>
          <w:szCs w:val="24"/>
          <w:lang w:val="es-ES" w:eastAsia="es-ES"/>
        </w:rPr>
        <w:t>ar</w:t>
      </w:r>
      <w:r w:rsidR="005B174D" w:rsidRPr="00BE0974">
        <w:rPr>
          <w:rFonts w:eastAsia="Times New Roman" w:cs="Calibri"/>
          <w:sz w:val="24"/>
          <w:szCs w:val="24"/>
          <w:lang w:val="es-ES" w:eastAsia="es-ES"/>
        </w:rPr>
        <w:t xml:space="preserve"> el cumplimiento</w:t>
      </w:r>
      <w:r w:rsidRPr="00BE0974">
        <w:rPr>
          <w:rFonts w:eastAsia="Times New Roman" w:cs="Calibri"/>
          <w:sz w:val="24"/>
          <w:szCs w:val="24"/>
          <w:lang w:val="es-ES" w:eastAsia="es-ES"/>
        </w:rPr>
        <w:t xml:space="preserve"> </w:t>
      </w:r>
      <w:r w:rsidR="005B174D" w:rsidRPr="00BE0974">
        <w:rPr>
          <w:rFonts w:eastAsia="Times New Roman" w:cs="Calibri"/>
          <w:sz w:val="24"/>
          <w:szCs w:val="24"/>
          <w:lang w:val="es-ES" w:eastAsia="es-ES"/>
        </w:rPr>
        <w:t>de</w:t>
      </w:r>
      <w:r w:rsidRPr="00BE0974">
        <w:rPr>
          <w:rFonts w:eastAsia="Times New Roman" w:cs="Calibri"/>
          <w:sz w:val="24"/>
          <w:szCs w:val="24"/>
          <w:lang w:val="es-ES" w:eastAsia="es-ES"/>
        </w:rPr>
        <w:t xml:space="preserve"> las medidas de seguridad </w:t>
      </w:r>
      <w:r w:rsidR="005B174D" w:rsidRPr="00BE0974">
        <w:rPr>
          <w:rFonts w:eastAsia="Times New Roman" w:cs="Calibri"/>
          <w:sz w:val="24"/>
          <w:szCs w:val="24"/>
          <w:lang w:val="es-ES" w:eastAsia="es-ES"/>
        </w:rPr>
        <w:t>ordenadas</w:t>
      </w:r>
      <w:r w:rsidRPr="00BE0974">
        <w:rPr>
          <w:rFonts w:eastAsia="Times New Roman" w:cs="Calibri"/>
          <w:sz w:val="24"/>
          <w:szCs w:val="24"/>
          <w:lang w:val="es-ES" w:eastAsia="es-ES"/>
        </w:rPr>
        <w:t xml:space="preserve"> en el Acuerdo </w:t>
      </w:r>
      <w:r w:rsidR="00AF52A1" w:rsidRPr="00BE0974">
        <w:rPr>
          <w:rFonts w:cstheme="minorHAnsi"/>
          <w:iCs/>
          <w:sz w:val="24"/>
          <w:szCs w:val="24"/>
        </w:rPr>
        <w:t>IEQROO/CQyD/AMC-010/2021</w:t>
      </w:r>
      <w:r w:rsidRPr="00BE0974">
        <w:rPr>
          <w:rFonts w:eastAsia="Times New Roman" w:cs="Calibri"/>
          <w:iCs/>
          <w:sz w:val="24"/>
          <w:szCs w:val="24"/>
          <w:lang w:val="es-ES" w:eastAsia="es-ES"/>
        </w:rPr>
        <w:t>.</w:t>
      </w:r>
      <w:r w:rsidRPr="00BE0974">
        <w:rPr>
          <w:rFonts w:eastAsia="Times New Roman" w:cs="Calibri"/>
          <w:sz w:val="24"/>
          <w:szCs w:val="24"/>
          <w:lang w:val="es-ES" w:eastAsia="es-ES"/>
        </w:rPr>
        <w:t xml:space="preserve"> </w:t>
      </w:r>
    </w:p>
    <w:p w14:paraId="2B21ECDA" w14:textId="77777777" w:rsidR="00BB0C1B" w:rsidRPr="00BE0974" w:rsidRDefault="00BB0C1B" w:rsidP="005A39EB">
      <w:pPr>
        <w:spacing w:after="0"/>
        <w:jc w:val="both"/>
        <w:rPr>
          <w:rFonts w:eastAsia="Times New Roman" w:cs="Calibri"/>
          <w:sz w:val="24"/>
          <w:szCs w:val="24"/>
          <w:lang w:val="es-ES" w:eastAsia="es-ES"/>
        </w:rPr>
      </w:pPr>
    </w:p>
    <w:p w14:paraId="5627E410" w14:textId="01540CE7" w:rsidR="0051089B" w:rsidRPr="00BE0974" w:rsidRDefault="00BB0C1B" w:rsidP="005A39EB">
      <w:pPr>
        <w:spacing w:after="0"/>
        <w:jc w:val="both"/>
        <w:rPr>
          <w:rFonts w:eastAsia="Times New Roman" w:cs="Calibri"/>
          <w:sz w:val="24"/>
          <w:szCs w:val="24"/>
          <w:lang w:val="es-ES" w:eastAsia="es-ES"/>
        </w:rPr>
      </w:pPr>
      <w:r w:rsidRPr="00BE0974">
        <w:rPr>
          <w:rFonts w:eastAsia="Times New Roman" w:cs="Calibri"/>
          <w:sz w:val="24"/>
          <w:szCs w:val="24"/>
          <w:lang w:val="es-ES" w:eastAsia="es-ES"/>
        </w:rPr>
        <w:t xml:space="preserve">Ahora bien, </w:t>
      </w:r>
      <w:r w:rsidR="00B1587B" w:rsidRPr="00BE0974">
        <w:rPr>
          <w:rFonts w:eastAsia="Times New Roman" w:cs="Calibri"/>
          <w:sz w:val="24"/>
          <w:szCs w:val="24"/>
          <w:lang w:val="es-ES" w:eastAsia="es-ES"/>
        </w:rPr>
        <w:t xml:space="preserve">respecto </w:t>
      </w:r>
      <w:r w:rsidRPr="00BE0974">
        <w:rPr>
          <w:rFonts w:eastAsia="Times New Roman" w:cs="Calibri"/>
          <w:sz w:val="24"/>
          <w:szCs w:val="24"/>
          <w:lang w:val="es-ES" w:eastAsia="es-ES"/>
        </w:rPr>
        <w:t xml:space="preserve">al </w:t>
      </w:r>
      <w:r w:rsidR="0051089B" w:rsidRPr="00BE0974">
        <w:rPr>
          <w:rFonts w:eastAsia="Times New Roman" w:cs="Calibri"/>
          <w:sz w:val="24"/>
          <w:szCs w:val="24"/>
          <w:lang w:val="es-ES" w:eastAsia="es-ES"/>
        </w:rPr>
        <w:t xml:space="preserve">cumplimiento </w:t>
      </w:r>
      <w:r w:rsidRPr="00BE0974">
        <w:rPr>
          <w:rFonts w:eastAsia="Times New Roman" w:cs="Calibri"/>
          <w:sz w:val="24"/>
          <w:szCs w:val="24"/>
          <w:lang w:val="es-ES" w:eastAsia="es-ES"/>
        </w:rPr>
        <w:t>del</w:t>
      </w:r>
      <w:r w:rsidR="00891445" w:rsidRPr="00BE0974">
        <w:rPr>
          <w:rFonts w:eastAsia="Times New Roman" w:cs="Calibri"/>
          <w:sz w:val="24"/>
          <w:szCs w:val="24"/>
          <w:lang w:val="es-ES" w:eastAsia="es-ES"/>
        </w:rPr>
        <w:t xml:space="preserve"> inciso f)</w:t>
      </w:r>
      <w:r w:rsidR="0051089B" w:rsidRPr="00BE0974">
        <w:rPr>
          <w:rFonts w:eastAsia="Times New Roman" w:cs="Calibri"/>
          <w:sz w:val="24"/>
          <w:szCs w:val="24"/>
          <w:lang w:val="es-ES" w:eastAsia="es-ES"/>
        </w:rPr>
        <w:t xml:space="preserve"> del párrafo </w:t>
      </w:r>
      <w:r w:rsidRPr="00BE0974">
        <w:rPr>
          <w:rFonts w:eastAsia="Times New Roman" w:cs="Calibri"/>
          <w:sz w:val="24"/>
          <w:szCs w:val="24"/>
          <w:lang w:val="es-ES" w:eastAsia="es-ES"/>
        </w:rPr>
        <w:t>del párrafo previamente citado,</w:t>
      </w:r>
      <w:r w:rsidR="0051089B" w:rsidRPr="00BE0974">
        <w:rPr>
          <w:rFonts w:eastAsia="Times New Roman" w:cs="Calibri"/>
          <w:sz w:val="24"/>
          <w:szCs w:val="24"/>
          <w:lang w:val="es-ES" w:eastAsia="es-ES"/>
        </w:rPr>
        <w:t xml:space="preserve"> </w:t>
      </w:r>
      <w:r w:rsidRPr="00BE0974">
        <w:rPr>
          <w:rFonts w:eastAsia="Times New Roman" w:cs="Calibri"/>
          <w:sz w:val="24"/>
          <w:szCs w:val="24"/>
          <w:lang w:val="es-ES" w:eastAsia="es-ES"/>
        </w:rPr>
        <w:t>se</w:t>
      </w:r>
      <w:r w:rsidR="0051089B" w:rsidRPr="00BE0974">
        <w:rPr>
          <w:rFonts w:eastAsia="Times New Roman" w:cs="Calibri"/>
          <w:sz w:val="24"/>
          <w:szCs w:val="24"/>
          <w:lang w:val="es-ES" w:eastAsia="es-ES"/>
        </w:rPr>
        <w:t xml:space="preserve"> </w:t>
      </w:r>
      <w:r w:rsidR="00FA222C" w:rsidRPr="00BE0974">
        <w:rPr>
          <w:rFonts w:eastAsia="Times New Roman" w:cs="Calibri"/>
          <w:sz w:val="24"/>
          <w:szCs w:val="24"/>
          <w:lang w:val="es-ES" w:eastAsia="es-ES"/>
        </w:rPr>
        <w:t>determina</w:t>
      </w:r>
      <w:r w:rsidR="00891445" w:rsidRPr="00BE0974">
        <w:rPr>
          <w:rFonts w:eastAsia="Times New Roman" w:cs="Calibri"/>
          <w:sz w:val="24"/>
          <w:szCs w:val="24"/>
          <w:lang w:val="es-ES" w:eastAsia="es-ES"/>
        </w:rPr>
        <w:t xml:space="preserve"> instruir a la Dirección Jurídica del Instituto a efecto de inscribir </w:t>
      </w:r>
      <w:r w:rsidR="00891445" w:rsidRPr="00BE0974">
        <w:rPr>
          <w:rFonts w:cs="Arial"/>
          <w:sz w:val="24"/>
          <w:szCs w:val="24"/>
        </w:rPr>
        <w:t xml:space="preserve">al ciudadano Luis Gamero Barranco </w:t>
      </w:r>
      <w:r w:rsidR="00891445" w:rsidRPr="00BE0974">
        <w:rPr>
          <w:rFonts w:cstheme="minorHAnsi"/>
          <w:sz w:val="24"/>
          <w:szCs w:val="24"/>
        </w:rPr>
        <w:t xml:space="preserve">en el Registro Estatal de Personas Sancionadas en Materia de Violencia Política Contra las Mujeres en Razón de Género de Quintana Roo con una permanencia de </w:t>
      </w:r>
      <w:r w:rsidR="00891445" w:rsidRPr="00BE0974">
        <w:rPr>
          <w:rFonts w:cstheme="minorHAnsi"/>
          <w:b/>
          <w:sz w:val="24"/>
          <w:szCs w:val="24"/>
        </w:rPr>
        <w:t>cinco años, cuatro meses.</w:t>
      </w:r>
    </w:p>
    <w:p w14:paraId="2EE6B3E5" w14:textId="0B92366F" w:rsidR="00891445" w:rsidRPr="00BE0974" w:rsidRDefault="00891445" w:rsidP="005A39EB">
      <w:pPr>
        <w:spacing w:after="0"/>
        <w:jc w:val="both"/>
        <w:rPr>
          <w:rFonts w:cstheme="minorHAnsi"/>
          <w:b/>
          <w:sz w:val="24"/>
          <w:szCs w:val="24"/>
        </w:rPr>
      </w:pPr>
    </w:p>
    <w:p w14:paraId="033EF6F3" w14:textId="7FC2DFA3" w:rsidR="00891445" w:rsidRPr="00BE0974" w:rsidRDefault="008411D1" w:rsidP="005A39EB">
      <w:pPr>
        <w:spacing w:after="0"/>
        <w:jc w:val="both"/>
        <w:rPr>
          <w:rFonts w:eastAsia="Times New Roman" w:cs="Calibri"/>
          <w:sz w:val="24"/>
          <w:szCs w:val="24"/>
          <w:lang w:val="es-ES" w:eastAsia="es-ES"/>
        </w:rPr>
      </w:pPr>
      <w:r w:rsidRPr="00BE0974">
        <w:rPr>
          <w:rFonts w:cstheme="minorHAnsi"/>
          <w:sz w:val="24"/>
          <w:szCs w:val="24"/>
        </w:rPr>
        <w:t>Así mismo</w:t>
      </w:r>
      <w:r w:rsidR="00FA222C" w:rsidRPr="00BE0974">
        <w:rPr>
          <w:rFonts w:cstheme="minorHAnsi"/>
          <w:sz w:val="24"/>
          <w:szCs w:val="24"/>
        </w:rPr>
        <w:t xml:space="preserve">, </w:t>
      </w:r>
      <w:r w:rsidR="00D623FE" w:rsidRPr="00BE0974">
        <w:rPr>
          <w:rFonts w:cstheme="minorHAnsi"/>
          <w:sz w:val="24"/>
          <w:szCs w:val="24"/>
        </w:rPr>
        <w:t xml:space="preserve">se instruye a la Consejera Presidenta del Consejo General para que, por su conducto solicite </w:t>
      </w:r>
      <w:r w:rsidR="00891445" w:rsidRPr="00BE0974">
        <w:rPr>
          <w:rFonts w:cs="Arial"/>
          <w:sz w:val="24"/>
          <w:szCs w:val="24"/>
        </w:rPr>
        <w:t xml:space="preserve">al Instituto Nacional Electoral, </w:t>
      </w:r>
      <w:r w:rsidR="00D623FE" w:rsidRPr="00BE0974">
        <w:rPr>
          <w:rFonts w:ascii="Calibri" w:hAnsi="Calibri" w:cs="Calibri"/>
          <w:sz w:val="24"/>
          <w:szCs w:val="24"/>
        </w:rPr>
        <w:t>la inscripción</w:t>
      </w:r>
      <w:r w:rsidR="00D623FE" w:rsidRPr="00BE0974">
        <w:rPr>
          <w:rFonts w:cs="Arial"/>
          <w:sz w:val="24"/>
          <w:szCs w:val="24"/>
        </w:rPr>
        <w:t xml:space="preserve"> del</w:t>
      </w:r>
      <w:r w:rsidR="00891445" w:rsidRPr="00BE0974">
        <w:rPr>
          <w:rFonts w:cs="Arial"/>
          <w:sz w:val="24"/>
          <w:szCs w:val="24"/>
        </w:rPr>
        <w:t xml:space="preserve"> ciudadano Luis Gamero Barranco en el Registro Nacional d</w:t>
      </w:r>
      <w:r w:rsidR="00891445" w:rsidRPr="00BE0974">
        <w:rPr>
          <w:rFonts w:cstheme="minorHAnsi"/>
          <w:sz w:val="24"/>
          <w:szCs w:val="24"/>
        </w:rPr>
        <w:t>e Personas Sancionadas en Materia de Violencia Política Contra las Mujeres en Razón de Género por el mismo plazo.</w:t>
      </w:r>
    </w:p>
    <w:p w14:paraId="3D17E8F2" w14:textId="68C70689" w:rsidR="00891445" w:rsidRPr="00BE0974" w:rsidRDefault="00891445" w:rsidP="005A39EB">
      <w:pPr>
        <w:spacing w:after="0"/>
        <w:jc w:val="both"/>
        <w:rPr>
          <w:rFonts w:eastAsia="Times New Roman" w:cs="Calibri"/>
          <w:sz w:val="24"/>
          <w:szCs w:val="24"/>
          <w:lang w:val="es-ES" w:eastAsia="es-ES"/>
        </w:rPr>
      </w:pPr>
    </w:p>
    <w:p w14:paraId="1D447E50" w14:textId="0C65764B" w:rsidR="00451A38" w:rsidRPr="00BE0974" w:rsidRDefault="00B1587B" w:rsidP="00285F8D">
      <w:pPr>
        <w:spacing w:after="0"/>
        <w:jc w:val="both"/>
        <w:rPr>
          <w:rFonts w:eastAsia="Times New Roman" w:cs="Calibri"/>
          <w:sz w:val="24"/>
          <w:szCs w:val="24"/>
          <w:lang w:val="es-ES" w:eastAsia="es-ES"/>
        </w:rPr>
      </w:pPr>
      <w:r w:rsidRPr="00BE0974">
        <w:rPr>
          <w:rFonts w:eastAsia="Times New Roman" w:cstheme="minorHAnsi"/>
          <w:sz w:val="24"/>
          <w:szCs w:val="24"/>
          <w:lang w:val="es-ES" w:eastAsia="es-ES"/>
        </w:rPr>
        <w:t>P</w:t>
      </w:r>
      <w:r w:rsidR="00891445" w:rsidRPr="00BE0974">
        <w:rPr>
          <w:rFonts w:eastAsia="Times New Roman" w:cstheme="minorHAnsi"/>
          <w:sz w:val="24"/>
          <w:szCs w:val="24"/>
          <w:lang w:val="es-ES" w:eastAsia="es-ES"/>
        </w:rPr>
        <w:t xml:space="preserve">or cuanto </w:t>
      </w:r>
      <w:r w:rsidR="00FA222C" w:rsidRPr="00BE0974">
        <w:rPr>
          <w:rFonts w:eastAsia="Times New Roman" w:cstheme="minorHAnsi"/>
          <w:sz w:val="24"/>
          <w:szCs w:val="24"/>
          <w:lang w:val="es-ES" w:eastAsia="es-ES"/>
        </w:rPr>
        <w:t xml:space="preserve">a lo ordenado en el </w:t>
      </w:r>
      <w:r w:rsidR="00891445" w:rsidRPr="00BE0974">
        <w:rPr>
          <w:rFonts w:eastAsia="Times New Roman" w:cstheme="minorHAnsi"/>
          <w:sz w:val="24"/>
          <w:szCs w:val="24"/>
          <w:lang w:val="es-ES" w:eastAsia="es-ES"/>
        </w:rPr>
        <w:t>inciso g) del párrafo 171 de la Sentencia</w:t>
      </w:r>
      <w:r w:rsidR="00285F8D" w:rsidRPr="00BE0974">
        <w:rPr>
          <w:rFonts w:eastAsia="Times New Roman" w:cstheme="minorHAnsi"/>
          <w:sz w:val="24"/>
          <w:szCs w:val="24"/>
          <w:lang w:val="es-ES" w:eastAsia="es-ES"/>
        </w:rPr>
        <w:t xml:space="preserve"> </w:t>
      </w:r>
      <w:r w:rsidR="00285F8D" w:rsidRPr="00BE0974">
        <w:rPr>
          <w:rFonts w:eastAsia="Times New Roman" w:cs="Calibri"/>
          <w:sz w:val="24"/>
          <w:szCs w:val="24"/>
          <w:lang w:val="es-ES" w:eastAsia="es-ES"/>
        </w:rPr>
        <w:t xml:space="preserve">referida en el Antecedente </w:t>
      </w:r>
      <w:r w:rsidR="00451A38" w:rsidRPr="00BE0974">
        <w:rPr>
          <w:rFonts w:eastAsia="Times New Roman" w:cs="Calibri"/>
          <w:sz w:val="24"/>
          <w:szCs w:val="24"/>
          <w:lang w:val="es-ES" w:eastAsia="es-ES"/>
        </w:rPr>
        <w:t>V</w:t>
      </w:r>
      <w:r w:rsidR="00891445" w:rsidRPr="00BE0974">
        <w:rPr>
          <w:rFonts w:eastAsia="Times New Roman" w:cstheme="minorHAnsi"/>
          <w:sz w:val="24"/>
          <w:szCs w:val="24"/>
          <w:lang w:val="es-ES" w:eastAsia="es-ES"/>
        </w:rPr>
        <w:t>,</w:t>
      </w:r>
      <w:r w:rsidR="00451A38" w:rsidRPr="00BE0974">
        <w:rPr>
          <w:rFonts w:eastAsia="Times New Roman" w:cstheme="minorHAnsi"/>
          <w:sz w:val="24"/>
          <w:szCs w:val="24"/>
          <w:lang w:val="es-ES" w:eastAsia="es-ES"/>
        </w:rPr>
        <w:t xml:space="preserve"> respecto al registro otorgado al ciudadano </w:t>
      </w:r>
      <w:r w:rsidR="00451A38" w:rsidRPr="00BE0974">
        <w:rPr>
          <w:rFonts w:eastAsia="Times New Roman" w:cs="Calibri"/>
          <w:sz w:val="24"/>
          <w:szCs w:val="24"/>
          <w:lang w:val="es-ES" w:eastAsia="es-ES"/>
        </w:rPr>
        <w:t>Luis Gamero Barranco, como candidato a la presidencia Municipal de Othón P. Blanco, postulado por la Coalición, es de referirse que en dicha Sentencia, la Sala Xalapa</w:t>
      </w:r>
      <w:r w:rsidR="00451A38" w:rsidRPr="00BE0974">
        <w:rPr>
          <w:rFonts w:eastAsia="Times New Roman" w:cstheme="minorHAnsi"/>
          <w:sz w:val="24"/>
          <w:szCs w:val="24"/>
          <w:lang w:val="es-ES" w:eastAsia="es-ES"/>
        </w:rPr>
        <w:t xml:space="preserve"> </w:t>
      </w:r>
      <w:r w:rsidR="00285F8D" w:rsidRPr="00BE0974">
        <w:rPr>
          <w:rFonts w:eastAsia="Times New Roman" w:cs="Calibri"/>
          <w:sz w:val="24"/>
          <w:szCs w:val="24"/>
          <w:lang w:val="es-ES" w:eastAsia="es-ES"/>
        </w:rPr>
        <w:t>declaró la existencia de violencia política en razón de género cometida por el ciudadano</w:t>
      </w:r>
      <w:r w:rsidR="00451A38" w:rsidRPr="00BE0974">
        <w:rPr>
          <w:rFonts w:eastAsia="Times New Roman" w:cs="Calibri"/>
          <w:sz w:val="24"/>
          <w:szCs w:val="24"/>
          <w:lang w:val="es-ES" w:eastAsia="es-ES"/>
        </w:rPr>
        <w:t xml:space="preserve"> en cuestión, y calificó la falta como ordinaria. </w:t>
      </w:r>
    </w:p>
    <w:p w14:paraId="2FCEE6B7" w14:textId="77777777" w:rsidR="00451A38" w:rsidRPr="00BE0974" w:rsidRDefault="00451A38" w:rsidP="00285F8D">
      <w:pPr>
        <w:spacing w:after="0"/>
        <w:jc w:val="both"/>
        <w:rPr>
          <w:rFonts w:eastAsia="Times New Roman" w:cs="Calibri"/>
          <w:sz w:val="24"/>
          <w:szCs w:val="24"/>
          <w:lang w:val="es-ES" w:eastAsia="es-ES"/>
        </w:rPr>
      </w:pPr>
    </w:p>
    <w:p w14:paraId="0B7F932C" w14:textId="74B5C71F" w:rsidR="00285F8D" w:rsidRPr="00BE0974" w:rsidRDefault="00451A38" w:rsidP="00285F8D">
      <w:pPr>
        <w:spacing w:after="0"/>
        <w:jc w:val="both"/>
        <w:rPr>
          <w:rFonts w:eastAsia="Times New Roman" w:cstheme="minorHAnsi"/>
          <w:sz w:val="24"/>
          <w:szCs w:val="24"/>
          <w:lang w:val="es-ES" w:eastAsia="es-ES"/>
        </w:rPr>
      </w:pPr>
      <w:r w:rsidRPr="00BE0974">
        <w:rPr>
          <w:rFonts w:eastAsia="Times New Roman" w:cs="Calibri"/>
          <w:sz w:val="24"/>
          <w:szCs w:val="24"/>
          <w:lang w:val="es-ES" w:eastAsia="es-ES"/>
        </w:rPr>
        <w:t>E</w:t>
      </w:r>
      <w:r w:rsidR="00285F8D" w:rsidRPr="00BE0974">
        <w:rPr>
          <w:rFonts w:eastAsia="Times New Roman" w:cs="Calibri"/>
          <w:sz w:val="24"/>
          <w:szCs w:val="24"/>
          <w:lang w:val="es-ES" w:eastAsia="es-ES"/>
        </w:rPr>
        <w:t>n tal virtud</w:t>
      </w:r>
      <w:r w:rsidRPr="00BE0974">
        <w:rPr>
          <w:rFonts w:eastAsia="Times New Roman" w:cs="Calibri"/>
          <w:sz w:val="24"/>
          <w:szCs w:val="24"/>
          <w:lang w:val="es-ES" w:eastAsia="es-ES"/>
        </w:rPr>
        <w:t>, este órgano comicial</w:t>
      </w:r>
      <w:r w:rsidR="00285F8D" w:rsidRPr="00BE0974">
        <w:rPr>
          <w:rFonts w:eastAsia="Times New Roman" w:cs="Calibri"/>
          <w:sz w:val="24"/>
          <w:szCs w:val="24"/>
          <w:lang w:val="es-ES" w:eastAsia="es-ES"/>
        </w:rPr>
        <w:t xml:space="preserve"> considera que el ciudadano</w:t>
      </w:r>
      <w:r w:rsidRPr="00BE0974">
        <w:rPr>
          <w:rFonts w:eastAsia="Times New Roman" w:cs="Calibri"/>
          <w:sz w:val="24"/>
          <w:szCs w:val="24"/>
          <w:lang w:val="es-ES" w:eastAsia="es-ES"/>
        </w:rPr>
        <w:t xml:space="preserve"> Luis Gamero Barranco</w:t>
      </w:r>
      <w:r w:rsidR="00285F8D" w:rsidRPr="00BE0974">
        <w:rPr>
          <w:rFonts w:eastAsia="Times New Roman" w:cs="Calibri"/>
          <w:sz w:val="24"/>
          <w:szCs w:val="24"/>
          <w:lang w:val="es-ES" w:eastAsia="es-ES"/>
        </w:rPr>
        <w:t xml:space="preserve"> ha dejado de cumplir con el requisito de elegibilidad establecido </w:t>
      </w:r>
      <w:r w:rsidR="00E50A0F" w:rsidRPr="00BE0974">
        <w:rPr>
          <w:rFonts w:eastAsia="Times New Roman" w:cs="Calibri"/>
          <w:sz w:val="24"/>
          <w:szCs w:val="24"/>
          <w:lang w:val="es-ES" w:eastAsia="es-ES"/>
        </w:rPr>
        <w:t xml:space="preserve">en </w:t>
      </w:r>
      <w:r w:rsidR="00285F8D" w:rsidRPr="00BE0974">
        <w:rPr>
          <w:rFonts w:eastAsia="Times New Roman" w:cs="Calibri"/>
          <w:sz w:val="24"/>
          <w:szCs w:val="24"/>
          <w:lang w:val="es-ES" w:eastAsia="es-ES"/>
        </w:rPr>
        <w:t>la fracción V del numeral 17 de la Ley local</w:t>
      </w:r>
      <w:r w:rsidRPr="00BE0974">
        <w:rPr>
          <w:rFonts w:eastAsia="Times New Roman" w:cs="Calibri"/>
          <w:sz w:val="24"/>
          <w:szCs w:val="24"/>
          <w:lang w:val="es-ES" w:eastAsia="es-ES"/>
        </w:rPr>
        <w:t>, así como lo dispuesto en el numeral décimo tercero de los Criterios de Registro</w:t>
      </w:r>
      <w:r w:rsidR="00285F8D" w:rsidRPr="00BE0974">
        <w:rPr>
          <w:rFonts w:eastAsia="Times New Roman" w:cs="Calibri"/>
          <w:sz w:val="24"/>
          <w:szCs w:val="24"/>
          <w:lang w:val="es-ES" w:eastAsia="es-ES"/>
        </w:rPr>
        <w:t>.</w:t>
      </w:r>
    </w:p>
    <w:p w14:paraId="5738796E" w14:textId="77777777" w:rsidR="00285F8D" w:rsidRPr="00BE0974" w:rsidRDefault="00285F8D" w:rsidP="009A09A2">
      <w:pPr>
        <w:spacing w:after="0"/>
        <w:jc w:val="both"/>
        <w:rPr>
          <w:rFonts w:eastAsia="Times New Roman" w:cstheme="minorHAnsi"/>
          <w:sz w:val="24"/>
          <w:szCs w:val="24"/>
          <w:lang w:val="es-ES" w:eastAsia="es-ES"/>
        </w:rPr>
      </w:pPr>
    </w:p>
    <w:p w14:paraId="079C1A83" w14:textId="5BD38677" w:rsidR="002F3035" w:rsidRPr="00BE0974" w:rsidRDefault="002F3035" w:rsidP="002F3035">
      <w:pPr>
        <w:spacing w:after="0"/>
        <w:jc w:val="both"/>
        <w:rPr>
          <w:rFonts w:eastAsia="Times New Roman" w:cs="Calibri"/>
          <w:sz w:val="24"/>
          <w:szCs w:val="24"/>
          <w:lang w:val="es-ES" w:eastAsia="es-ES"/>
        </w:rPr>
      </w:pPr>
      <w:r w:rsidRPr="00BE0974">
        <w:rPr>
          <w:rFonts w:eastAsia="Times New Roman" w:cs="Calibri"/>
          <w:sz w:val="24"/>
          <w:szCs w:val="24"/>
          <w:lang w:val="es-ES" w:eastAsia="es-ES"/>
        </w:rPr>
        <w:t xml:space="preserve">Por tanto, </w:t>
      </w:r>
      <w:r w:rsidR="00BC7BF3" w:rsidRPr="00BE0974">
        <w:rPr>
          <w:rFonts w:eastAsia="Times New Roman" w:cs="Calibri"/>
          <w:sz w:val="24"/>
          <w:szCs w:val="24"/>
          <w:lang w:val="es-ES" w:eastAsia="es-ES"/>
        </w:rPr>
        <w:t xml:space="preserve">se </w:t>
      </w:r>
      <w:r w:rsidRPr="00BE0974">
        <w:rPr>
          <w:rFonts w:eastAsia="Times New Roman" w:cs="Calibri"/>
          <w:sz w:val="24"/>
          <w:szCs w:val="24"/>
          <w:lang w:val="es-ES" w:eastAsia="es-ES"/>
        </w:rPr>
        <w:t>determina procedente la cancelación del registro como candidato a Presidente Municipal Propietario por el municipio de Othón P. Blanco</w:t>
      </w:r>
      <w:r w:rsidR="00E50A0F" w:rsidRPr="00BE0974">
        <w:rPr>
          <w:rFonts w:eastAsia="Times New Roman" w:cs="Calibri"/>
          <w:sz w:val="24"/>
          <w:szCs w:val="24"/>
          <w:lang w:val="es-ES" w:eastAsia="es-ES"/>
        </w:rPr>
        <w:t>, Quintana Roo,</w:t>
      </w:r>
      <w:r w:rsidRPr="00BE0974">
        <w:rPr>
          <w:rFonts w:eastAsia="Times New Roman" w:cs="Calibri"/>
          <w:sz w:val="24"/>
          <w:szCs w:val="24"/>
          <w:lang w:val="es-ES" w:eastAsia="es-ES"/>
        </w:rPr>
        <w:t xml:space="preserve"> otorgado al ciudadano Luis Gamero Barranco mediante el Acuerdo referido en el Antecedente III del presente instrumento jurídico.</w:t>
      </w:r>
    </w:p>
    <w:p w14:paraId="60F3CDB4" w14:textId="77777777" w:rsidR="002F3035" w:rsidRPr="00BE0974" w:rsidRDefault="002F3035" w:rsidP="00891445">
      <w:pPr>
        <w:spacing w:after="0"/>
        <w:jc w:val="both"/>
        <w:rPr>
          <w:rFonts w:eastAsia="Times New Roman" w:cs="Calibri"/>
          <w:sz w:val="24"/>
          <w:szCs w:val="24"/>
          <w:lang w:val="es-ES" w:eastAsia="es-ES"/>
        </w:rPr>
      </w:pPr>
    </w:p>
    <w:p w14:paraId="63D825EB" w14:textId="038BE5EE" w:rsidR="00891445" w:rsidRPr="00BE0974" w:rsidRDefault="008411D1" w:rsidP="00891445">
      <w:pPr>
        <w:spacing w:after="0"/>
        <w:jc w:val="both"/>
        <w:rPr>
          <w:rFonts w:eastAsia="Times New Roman" w:cstheme="minorHAnsi"/>
          <w:sz w:val="24"/>
          <w:szCs w:val="24"/>
          <w:lang w:val="es-ES" w:eastAsia="es-ES"/>
        </w:rPr>
      </w:pPr>
      <w:r w:rsidRPr="00BE0974">
        <w:rPr>
          <w:rFonts w:eastAsia="Times New Roman" w:cs="Calibri"/>
          <w:sz w:val="24"/>
          <w:szCs w:val="24"/>
          <w:lang w:val="es-ES" w:eastAsia="es-ES"/>
        </w:rPr>
        <w:t xml:space="preserve">En consecuencia, con la finalidad de </w:t>
      </w:r>
      <w:r w:rsidR="009A09A2" w:rsidRPr="00BE0974">
        <w:rPr>
          <w:rFonts w:eastAsia="Times New Roman" w:cs="Calibri"/>
          <w:sz w:val="24"/>
          <w:szCs w:val="24"/>
          <w:lang w:val="es-ES" w:eastAsia="es-ES"/>
        </w:rPr>
        <w:t xml:space="preserve">maximizar los derechos de la Coalición, </w:t>
      </w:r>
      <w:r w:rsidR="00891445" w:rsidRPr="00BE0974">
        <w:rPr>
          <w:rFonts w:eastAsia="Times New Roman" w:cs="Calibri"/>
          <w:sz w:val="24"/>
          <w:szCs w:val="24"/>
          <w:lang w:val="es-ES" w:eastAsia="es-ES"/>
        </w:rPr>
        <w:t>este</w:t>
      </w:r>
      <w:r w:rsidR="009A09A2" w:rsidRPr="00BE0974">
        <w:rPr>
          <w:rFonts w:eastAsia="Times New Roman" w:cs="Calibri"/>
          <w:sz w:val="24"/>
          <w:szCs w:val="24"/>
          <w:lang w:val="es-ES" w:eastAsia="es-ES"/>
        </w:rPr>
        <w:t xml:space="preserve"> ó</w:t>
      </w:r>
      <w:r w:rsidR="00891445" w:rsidRPr="00BE0974">
        <w:rPr>
          <w:rFonts w:eastAsia="Times New Roman" w:cs="Calibri"/>
          <w:sz w:val="24"/>
          <w:szCs w:val="24"/>
          <w:lang w:val="es-ES" w:eastAsia="es-ES"/>
        </w:rPr>
        <w:t xml:space="preserve">rgano de máxima dirección </w:t>
      </w:r>
      <w:r w:rsidRPr="00BE0974">
        <w:rPr>
          <w:rFonts w:eastAsia="Times New Roman" w:cstheme="minorHAnsi"/>
          <w:sz w:val="24"/>
          <w:szCs w:val="24"/>
          <w:lang w:val="es-ES" w:eastAsia="es-ES"/>
        </w:rPr>
        <w:t>estima conducente otorgar un</w:t>
      </w:r>
      <w:r w:rsidR="00891445" w:rsidRPr="00BE0974">
        <w:rPr>
          <w:rFonts w:eastAsia="Times New Roman" w:cstheme="minorHAnsi"/>
          <w:sz w:val="24"/>
          <w:szCs w:val="24"/>
          <w:lang w:val="es-ES" w:eastAsia="es-ES"/>
        </w:rPr>
        <w:t xml:space="preserve"> término de </w:t>
      </w:r>
      <w:r w:rsidR="00891445" w:rsidRPr="00BE0974">
        <w:rPr>
          <w:rFonts w:eastAsia="Times New Roman" w:cstheme="minorHAnsi"/>
          <w:b/>
          <w:sz w:val="24"/>
          <w:szCs w:val="24"/>
          <w:lang w:val="es-ES" w:eastAsia="es-ES"/>
        </w:rPr>
        <w:t>cuarenta y ocho horas</w:t>
      </w:r>
      <w:r w:rsidR="00891445" w:rsidRPr="00BE0974">
        <w:rPr>
          <w:rFonts w:eastAsia="Times New Roman" w:cstheme="minorHAnsi"/>
          <w:sz w:val="24"/>
          <w:szCs w:val="24"/>
          <w:lang w:val="es-ES" w:eastAsia="es-ES"/>
        </w:rPr>
        <w:t xml:space="preserve">, contadas a partir de la notificación del presente instrumento jurídico, para que </w:t>
      </w:r>
      <w:r w:rsidR="001F79B8" w:rsidRPr="00BE0974">
        <w:rPr>
          <w:rFonts w:eastAsia="Times New Roman" w:cstheme="minorHAnsi"/>
          <w:sz w:val="24"/>
          <w:szCs w:val="24"/>
          <w:lang w:val="es-ES" w:eastAsia="es-ES"/>
        </w:rPr>
        <w:t>la Coalición</w:t>
      </w:r>
      <w:r w:rsidR="00891445" w:rsidRPr="00BE0974">
        <w:rPr>
          <w:rFonts w:eastAsia="Times New Roman" w:cstheme="minorHAnsi"/>
          <w:sz w:val="24"/>
          <w:szCs w:val="24"/>
          <w:lang w:val="es-ES" w:eastAsia="es-ES"/>
        </w:rPr>
        <w:t xml:space="preserve"> realice la </w:t>
      </w:r>
      <w:r w:rsidR="00891445" w:rsidRPr="00BE0974">
        <w:rPr>
          <w:rFonts w:eastAsia="Times New Roman" w:cstheme="minorHAnsi"/>
          <w:sz w:val="24"/>
          <w:szCs w:val="24"/>
          <w:lang w:val="es-ES" w:eastAsia="es-ES"/>
        </w:rPr>
        <w:lastRenderedPageBreak/>
        <w:t xml:space="preserve">sustitución de la candidatura a la </w:t>
      </w:r>
      <w:r w:rsidR="00D623FE" w:rsidRPr="00BE0974">
        <w:rPr>
          <w:rFonts w:eastAsia="Times New Roman" w:cstheme="minorHAnsi"/>
          <w:sz w:val="24"/>
          <w:szCs w:val="24"/>
          <w:lang w:val="es-ES" w:eastAsia="es-ES"/>
        </w:rPr>
        <w:t>Presidencia Municipal Propietaria del municipio de Othón P. Blanco,</w:t>
      </w:r>
      <w:r w:rsidR="00D623FE" w:rsidRPr="00BE0974">
        <w:rPr>
          <w:rFonts w:cstheme="minorHAnsi"/>
          <w:sz w:val="24"/>
          <w:szCs w:val="24"/>
        </w:rPr>
        <w:t xml:space="preserve"> en términos </w:t>
      </w:r>
      <w:r w:rsidR="004D2F2B" w:rsidRPr="00BE0974">
        <w:rPr>
          <w:rFonts w:cstheme="minorHAnsi"/>
          <w:sz w:val="24"/>
          <w:szCs w:val="24"/>
        </w:rPr>
        <w:t>de</w:t>
      </w:r>
      <w:r w:rsidR="00D623FE" w:rsidRPr="00BE0974">
        <w:rPr>
          <w:rFonts w:cstheme="minorHAnsi"/>
          <w:sz w:val="24"/>
          <w:szCs w:val="24"/>
        </w:rPr>
        <w:t xml:space="preserve">l numeral </w:t>
      </w:r>
      <w:r w:rsidR="004D2F2B" w:rsidRPr="00BE0974">
        <w:rPr>
          <w:rFonts w:eastAsia="Times New Roman" w:cs="Arial"/>
          <w:sz w:val="24"/>
          <w:szCs w:val="24"/>
          <w:lang w:eastAsia="es-ES"/>
        </w:rPr>
        <w:t xml:space="preserve">noveno de los Criterios </w:t>
      </w:r>
      <w:r w:rsidRPr="00BE0974">
        <w:rPr>
          <w:rFonts w:eastAsia="Times New Roman" w:cs="Arial"/>
          <w:sz w:val="24"/>
          <w:szCs w:val="24"/>
          <w:lang w:eastAsia="es-ES"/>
        </w:rPr>
        <w:t>de paridad</w:t>
      </w:r>
      <w:r w:rsidR="004D2F2B" w:rsidRPr="00BE0974">
        <w:rPr>
          <w:rFonts w:eastAsia="Times New Roman" w:cs="Arial"/>
          <w:sz w:val="24"/>
          <w:szCs w:val="24"/>
          <w:lang w:eastAsia="es-ES"/>
        </w:rPr>
        <w:t xml:space="preserve">, así como en el numeral vigésimo primero de los Criterios </w:t>
      </w:r>
      <w:r w:rsidRPr="00BE0974">
        <w:rPr>
          <w:rFonts w:eastAsia="Times New Roman" w:cs="Arial"/>
          <w:sz w:val="24"/>
          <w:szCs w:val="24"/>
          <w:lang w:eastAsia="es-ES"/>
        </w:rPr>
        <w:t>de registro</w:t>
      </w:r>
      <w:r w:rsidR="004D2F2B" w:rsidRPr="00BE0974">
        <w:rPr>
          <w:rFonts w:eastAsia="Times New Roman" w:cs="Arial"/>
          <w:sz w:val="24"/>
          <w:szCs w:val="24"/>
          <w:lang w:eastAsia="es-ES"/>
        </w:rPr>
        <w:t>.</w:t>
      </w:r>
    </w:p>
    <w:p w14:paraId="545199BD" w14:textId="4A4AAF57" w:rsidR="00891445" w:rsidRPr="00BE0974" w:rsidRDefault="00891445" w:rsidP="005A39EB">
      <w:pPr>
        <w:spacing w:after="0"/>
        <w:jc w:val="both"/>
        <w:rPr>
          <w:rFonts w:eastAsia="Times New Roman" w:cstheme="minorHAnsi"/>
          <w:sz w:val="24"/>
          <w:szCs w:val="24"/>
          <w:lang w:val="es-ES" w:eastAsia="es-ES"/>
        </w:rPr>
      </w:pPr>
    </w:p>
    <w:p w14:paraId="276B6D79" w14:textId="77777777" w:rsidR="002F3035" w:rsidRPr="00BE0974" w:rsidRDefault="002F3035" w:rsidP="002F3035">
      <w:pPr>
        <w:spacing w:after="0"/>
        <w:jc w:val="both"/>
        <w:rPr>
          <w:rFonts w:eastAsia="Times New Roman" w:cs="Calibri"/>
          <w:sz w:val="24"/>
          <w:szCs w:val="24"/>
          <w:lang w:val="es-ES" w:eastAsia="es-ES"/>
        </w:rPr>
      </w:pPr>
      <w:r w:rsidRPr="00BE0974">
        <w:rPr>
          <w:rFonts w:eastAsia="Times New Roman" w:cs="Calibri"/>
          <w:sz w:val="24"/>
          <w:szCs w:val="24"/>
          <w:lang w:val="es-ES" w:eastAsia="es-ES"/>
        </w:rPr>
        <w:t xml:space="preserve">Lo anterior, de conformidad con el criterio orientador establecido en la Tesis </w:t>
      </w:r>
      <w:r w:rsidRPr="00BE0974">
        <w:rPr>
          <w:sz w:val="24"/>
          <w:szCs w:val="24"/>
        </w:rPr>
        <w:t>LXXXV/2002 dictada por la Sala Superior del Tribunal Electoral del Poder Judicial de la Federación, misma que refiere que cuando mediante sentencia jurisdiccional queda demostrada la inelegibilidad de una candidatura posterior a su registro, lo procedente es ordenar a la autoridad administrativa conceda un plazo razonable y específico para que la sustituya siempre y cuando sea antes de la jornada electoral.</w:t>
      </w:r>
    </w:p>
    <w:p w14:paraId="2E357938" w14:textId="79B767ED" w:rsidR="002F3035" w:rsidRPr="00BE0974" w:rsidRDefault="002F3035" w:rsidP="005A39EB">
      <w:pPr>
        <w:spacing w:after="0"/>
        <w:jc w:val="both"/>
        <w:rPr>
          <w:rFonts w:eastAsia="Times New Roman" w:cstheme="minorHAnsi"/>
          <w:sz w:val="24"/>
          <w:szCs w:val="24"/>
          <w:lang w:val="es-ES" w:eastAsia="es-ES"/>
        </w:rPr>
      </w:pPr>
    </w:p>
    <w:p w14:paraId="04AF5B02" w14:textId="77777777" w:rsidR="00761167" w:rsidRPr="00BE0974" w:rsidRDefault="00761167" w:rsidP="00761167">
      <w:pPr>
        <w:pStyle w:val="Prrafodelista"/>
        <w:tabs>
          <w:tab w:val="left" w:pos="284"/>
        </w:tabs>
        <w:spacing w:line="240" w:lineRule="auto"/>
        <w:ind w:left="0"/>
        <w:rPr>
          <w:rFonts w:eastAsia="Times New Roman" w:cs="Calibri"/>
          <w:sz w:val="24"/>
          <w:szCs w:val="24"/>
          <w:lang w:eastAsia="es-ES"/>
        </w:rPr>
      </w:pPr>
      <w:r w:rsidRPr="00BE0974">
        <w:rPr>
          <w:rFonts w:eastAsia="Times New Roman" w:cs="Calibri"/>
          <w:sz w:val="24"/>
          <w:szCs w:val="24"/>
          <w:lang w:eastAsia="es-ES"/>
        </w:rPr>
        <w:t>Por lo anteriormente expuesto y fundado el Consejo General emite el presente:</w:t>
      </w:r>
    </w:p>
    <w:p w14:paraId="56431EC9" w14:textId="77777777" w:rsidR="00761167" w:rsidRPr="00BE0974" w:rsidRDefault="00761167" w:rsidP="00761167">
      <w:pPr>
        <w:pStyle w:val="Textoindependiente"/>
        <w:tabs>
          <w:tab w:val="left" w:pos="284"/>
        </w:tabs>
        <w:spacing w:line="240" w:lineRule="auto"/>
        <w:ind w:right="-142"/>
        <w:jc w:val="center"/>
        <w:rPr>
          <w:rFonts w:ascii="Calibri" w:hAnsi="Calibri" w:cs="Times New Roman"/>
          <w:b/>
          <w:bCs/>
        </w:rPr>
      </w:pPr>
    </w:p>
    <w:p w14:paraId="6800F4A9" w14:textId="77777777" w:rsidR="00761167" w:rsidRPr="00BE0974" w:rsidRDefault="00761167" w:rsidP="00761167">
      <w:pPr>
        <w:pStyle w:val="Textoindependiente"/>
        <w:tabs>
          <w:tab w:val="left" w:pos="284"/>
        </w:tabs>
        <w:spacing w:line="240" w:lineRule="auto"/>
        <w:ind w:right="-142"/>
        <w:jc w:val="center"/>
        <w:rPr>
          <w:rFonts w:ascii="Calibri" w:hAnsi="Calibri" w:cs="Times New Roman"/>
          <w:b/>
          <w:bCs/>
        </w:rPr>
      </w:pPr>
      <w:r w:rsidRPr="00BE0974">
        <w:rPr>
          <w:rFonts w:ascii="Calibri" w:hAnsi="Calibri" w:cs="Times New Roman"/>
          <w:b/>
          <w:bCs/>
        </w:rPr>
        <w:t>ACUERDO</w:t>
      </w:r>
    </w:p>
    <w:p w14:paraId="07B6E9F7" w14:textId="77777777" w:rsidR="00761167" w:rsidRPr="00BE0974" w:rsidRDefault="00761167" w:rsidP="00761167">
      <w:pPr>
        <w:pStyle w:val="Textoindependiente"/>
        <w:tabs>
          <w:tab w:val="left" w:pos="284"/>
        </w:tabs>
        <w:spacing w:line="240" w:lineRule="auto"/>
        <w:ind w:right="-142"/>
        <w:jc w:val="center"/>
        <w:rPr>
          <w:rFonts w:ascii="Calibri" w:hAnsi="Calibri" w:cs="Times New Roman"/>
          <w:b/>
          <w:bCs/>
        </w:rPr>
      </w:pPr>
    </w:p>
    <w:p w14:paraId="0F3A51CB" w14:textId="26E7BC5B" w:rsidR="00761167" w:rsidRPr="00BE0974" w:rsidRDefault="00761167" w:rsidP="00761167">
      <w:pPr>
        <w:tabs>
          <w:tab w:val="left" w:pos="284"/>
        </w:tabs>
        <w:spacing w:after="0" w:line="240" w:lineRule="auto"/>
        <w:ind w:right="-143"/>
        <w:jc w:val="both"/>
        <w:rPr>
          <w:rFonts w:cs="Arial"/>
          <w:sz w:val="24"/>
          <w:szCs w:val="24"/>
        </w:rPr>
      </w:pPr>
      <w:r w:rsidRPr="00BE0974">
        <w:rPr>
          <w:b/>
          <w:bCs/>
          <w:sz w:val="24"/>
          <w:szCs w:val="24"/>
        </w:rPr>
        <w:t xml:space="preserve">PRIMERO. </w:t>
      </w:r>
      <w:r w:rsidRPr="00BE0974">
        <w:rPr>
          <w:bCs/>
          <w:sz w:val="24"/>
          <w:szCs w:val="24"/>
        </w:rPr>
        <w:t>Se a</w:t>
      </w:r>
      <w:r w:rsidRPr="00BE0974">
        <w:rPr>
          <w:rFonts w:cs="Arial"/>
          <w:sz w:val="24"/>
          <w:szCs w:val="24"/>
        </w:rPr>
        <w:t>prueba el presente Acuerdo en la forma y términos expresados en sus Antecedentes y Considerandos.</w:t>
      </w:r>
    </w:p>
    <w:p w14:paraId="2331A708" w14:textId="1EB02B3C" w:rsidR="008E385D" w:rsidRPr="00BE0974" w:rsidRDefault="008E385D" w:rsidP="00761167">
      <w:pPr>
        <w:tabs>
          <w:tab w:val="left" w:pos="284"/>
        </w:tabs>
        <w:spacing w:after="0" w:line="240" w:lineRule="auto"/>
        <w:ind w:right="-143"/>
        <w:jc w:val="both"/>
        <w:rPr>
          <w:rFonts w:cs="Arial"/>
          <w:sz w:val="24"/>
          <w:szCs w:val="24"/>
        </w:rPr>
      </w:pPr>
    </w:p>
    <w:p w14:paraId="67774ED9" w14:textId="04442BDB" w:rsidR="008E385D" w:rsidRPr="00BE0974" w:rsidRDefault="008E385D" w:rsidP="00761167">
      <w:pPr>
        <w:tabs>
          <w:tab w:val="left" w:pos="284"/>
        </w:tabs>
        <w:spacing w:after="0" w:line="240" w:lineRule="auto"/>
        <w:ind w:right="-143"/>
        <w:jc w:val="both"/>
        <w:rPr>
          <w:rFonts w:cs="Arial"/>
          <w:sz w:val="24"/>
          <w:szCs w:val="24"/>
        </w:rPr>
      </w:pPr>
      <w:r w:rsidRPr="00BE0974">
        <w:rPr>
          <w:rFonts w:cs="Arial"/>
          <w:b/>
          <w:sz w:val="24"/>
          <w:szCs w:val="24"/>
        </w:rPr>
        <w:t>SEGUNDO.</w:t>
      </w:r>
      <w:r w:rsidRPr="00BE0974">
        <w:rPr>
          <w:rFonts w:cs="Arial"/>
          <w:sz w:val="24"/>
          <w:szCs w:val="24"/>
        </w:rPr>
        <w:t xml:space="preserve"> </w:t>
      </w:r>
      <w:r w:rsidR="00FA222C" w:rsidRPr="00BE0974">
        <w:rPr>
          <w:rFonts w:cs="Arial"/>
          <w:sz w:val="24"/>
          <w:szCs w:val="24"/>
        </w:rPr>
        <w:t xml:space="preserve">Instrúyase a la Dirección Jurídica del Instituto, </w:t>
      </w:r>
      <w:r w:rsidR="00441D1A" w:rsidRPr="00BE0974">
        <w:rPr>
          <w:rFonts w:eastAsia="Times New Roman" w:cs="Calibri"/>
          <w:sz w:val="24"/>
          <w:szCs w:val="24"/>
          <w:lang w:val="es-ES" w:eastAsia="es-ES"/>
        </w:rPr>
        <w:t xml:space="preserve">a efecto de </w:t>
      </w:r>
      <w:r w:rsidR="00521D3D" w:rsidRPr="00BE0974">
        <w:rPr>
          <w:rFonts w:eastAsia="Times New Roman" w:cs="Calibri"/>
          <w:sz w:val="24"/>
          <w:szCs w:val="24"/>
          <w:lang w:val="es-ES" w:eastAsia="es-ES"/>
        </w:rPr>
        <w:t xml:space="preserve">vigilar el cumplimiento de las medidas de seguridad ordenadas en el Acuerdo </w:t>
      </w:r>
      <w:r w:rsidR="00521D3D" w:rsidRPr="00BE0974">
        <w:rPr>
          <w:rFonts w:cstheme="minorHAnsi"/>
          <w:iCs/>
          <w:sz w:val="24"/>
          <w:szCs w:val="24"/>
        </w:rPr>
        <w:t>IEQROO/CQyD/AMC-010/2021,</w:t>
      </w:r>
      <w:r w:rsidR="00521D3D" w:rsidRPr="00BE0974">
        <w:rPr>
          <w:rFonts w:cstheme="minorHAnsi"/>
          <w:i/>
          <w:sz w:val="24"/>
          <w:szCs w:val="24"/>
        </w:rPr>
        <w:t xml:space="preserve"> </w:t>
      </w:r>
      <w:r w:rsidR="00521D3D" w:rsidRPr="00BE0974">
        <w:rPr>
          <w:rFonts w:eastAsia="Times New Roman" w:cs="Calibri"/>
          <w:sz w:val="24"/>
          <w:szCs w:val="24"/>
          <w:lang w:val="es-ES" w:eastAsia="es-ES"/>
        </w:rPr>
        <w:t xml:space="preserve">e </w:t>
      </w:r>
      <w:r w:rsidR="00441D1A" w:rsidRPr="00BE0974">
        <w:rPr>
          <w:rFonts w:eastAsia="Times New Roman" w:cs="Calibri"/>
          <w:sz w:val="24"/>
          <w:szCs w:val="24"/>
          <w:lang w:val="es-ES" w:eastAsia="es-ES"/>
        </w:rPr>
        <w:t xml:space="preserve">inscribir </w:t>
      </w:r>
      <w:r w:rsidR="00441D1A" w:rsidRPr="00BE0974">
        <w:rPr>
          <w:rFonts w:cs="Arial"/>
          <w:sz w:val="24"/>
          <w:szCs w:val="24"/>
        </w:rPr>
        <w:t xml:space="preserve">al ciudadano Luis Gamero Barranco </w:t>
      </w:r>
      <w:r w:rsidR="00711499" w:rsidRPr="00BE0974">
        <w:rPr>
          <w:rFonts w:cstheme="minorHAnsi"/>
          <w:sz w:val="24"/>
          <w:szCs w:val="24"/>
        </w:rPr>
        <w:t xml:space="preserve">en el Registro Estatal de Personas Sancionadas en Materia de Violencia Política Contra las Mujeres en Razón de Género de Quintana Roo con una permanencia de </w:t>
      </w:r>
      <w:r w:rsidR="00711499" w:rsidRPr="00BE0974">
        <w:rPr>
          <w:rFonts w:cstheme="minorHAnsi"/>
          <w:b/>
          <w:sz w:val="24"/>
          <w:szCs w:val="24"/>
        </w:rPr>
        <w:t>cinco años, cuatro meses</w:t>
      </w:r>
      <w:r w:rsidRPr="00BE0974">
        <w:rPr>
          <w:rFonts w:cs="Arial"/>
          <w:sz w:val="24"/>
          <w:szCs w:val="24"/>
        </w:rPr>
        <w:t>.</w:t>
      </w:r>
    </w:p>
    <w:p w14:paraId="38866BFA" w14:textId="06BDF099" w:rsidR="008E385D" w:rsidRPr="00BE0974" w:rsidRDefault="008E385D" w:rsidP="00761167">
      <w:pPr>
        <w:tabs>
          <w:tab w:val="left" w:pos="284"/>
        </w:tabs>
        <w:spacing w:after="0" w:line="240" w:lineRule="auto"/>
        <w:ind w:right="-143"/>
        <w:jc w:val="both"/>
        <w:rPr>
          <w:rFonts w:cs="Arial"/>
          <w:b/>
          <w:sz w:val="24"/>
          <w:szCs w:val="24"/>
        </w:rPr>
      </w:pPr>
    </w:p>
    <w:p w14:paraId="21914691" w14:textId="77777777" w:rsidR="00441D1A" w:rsidRPr="00BE0974" w:rsidRDefault="008E385D" w:rsidP="00441D1A">
      <w:pPr>
        <w:tabs>
          <w:tab w:val="left" w:pos="284"/>
        </w:tabs>
        <w:spacing w:after="0" w:line="240" w:lineRule="auto"/>
        <w:ind w:right="-143"/>
        <w:jc w:val="both"/>
        <w:rPr>
          <w:rFonts w:cs="Arial"/>
          <w:sz w:val="24"/>
          <w:szCs w:val="24"/>
        </w:rPr>
      </w:pPr>
      <w:r w:rsidRPr="00BE0974">
        <w:rPr>
          <w:rFonts w:cs="Arial"/>
          <w:b/>
          <w:sz w:val="24"/>
          <w:szCs w:val="24"/>
        </w:rPr>
        <w:t>TERCERO.</w:t>
      </w:r>
      <w:r w:rsidRPr="00BE0974">
        <w:rPr>
          <w:rFonts w:cs="Arial"/>
          <w:sz w:val="24"/>
          <w:szCs w:val="24"/>
        </w:rPr>
        <w:t xml:space="preserve"> </w:t>
      </w:r>
      <w:r w:rsidR="00711499" w:rsidRPr="00BE0974">
        <w:rPr>
          <w:rFonts w:cs="Arial"/>
          <w:sz w:val="24"/>
          <w:szCs w:val="24"/>
        </w:rPr>
        <w:t xml:space="preserve">Notifíquese </w:t>
      </w:r>
      <w:r w:rsidR="007A3438" w:rsidRPr="00BE0974">
        <w:rPr>
          <w:rFonts w:cs="Arial"/>
          <w:sz w:val="24"/>
          <w:szCs w:val="24"/>
        </w:rPr>
        <w:t xml:space="preserve">el presente Acuerdo </w:t>
      </w:r>
      <w:r w:rsidR="00711499" w:rsidRPr="00BE0974">
        <w:rPr>
          <w:rFonts w:ascii="Calibri" w:eastAsia="Calibri" w:hAnsi="Calibri" w:cs="Calibri"/>
          <w:bCs/>
          <w:sz w:val="24"/>
          <w:szCs w:val="24"/>
        </w:rPr>
        <w:t xml:space="preserve">mediante vía electrónica, por conducto de la Consejera Presidenta, </w:t>
      </w:r>
      <w:r w:rsidR="00711499" w:rsidRPr="00BE0974">
        <w:rPr>
          <w:rFonts w:cs="Arial"/>
          <w:sz w:val="24"/>
          <w:szCs w:val="24"/>
        </w:rPr>
        <w:t xml:space="preserve">al Instituto Nacional Electoral, </w:t>
      </w:r>
      <w:r w:rsidR="00711499" w:rsidRPr="00BE0974">
        <w:rPr>
          <w:rFonts w:ascii="Calibri" w:hAnsi="Calibri" w:cs="Calibri"/>
          <w:sz w:val="24"/>
          <w:szCs w:val="24"/>
        </w:rPr>
        <w:t>a través de la Unidad Técnica de Vinculación con los Organismos Públicos Locales</w:t>
      </w:r>
      <w:r w:rsidR="00711499" w:rsidRPr="00BE0974">
        <w:rPr>
          <w:rFonts w:cs="Arial"/>
          <w:sz w:val="24"/>
          <w:szCs w:val="24"/>
        </w:rPr>
        <w:t>, a efecto de inscribir al ciudadano Luis Gamero Barranco en el Registro Nacional d</w:t>
      </w:r>
      <w:r w:rsidR="00711499" w:rsidRPr="00BE0974">
        <w:rPr>
          <w:rFonts w:cstheme="minorHAnsi"/>
          <w:sz w:val="24"/>
          <w:szCs w:val="24"/>
        </w:rPr>
        <w:t>e Personas Sancionadas en Materia de Violencia Política Contra las Mujeres en Razón de Género</w:t>
      </w:r>
      <w:r w:rsidR="00441D1A" w:rsidRPr="00BE0974">
        <w:rPr>
          <w:rFonts w:cstheme="minorHAnsi"/>
          <w:sz w:val="24"/>
          <w:szCs w:val="24"/>
        </w:rPr>
        <w:t xml:space="preserve"> con una permanencia de </w:t>
      </w:r>
      <w:r w:rsidR="00441D1A" w:rsidRPr="00BE0974">
        <w:rPr>
          <w:rFonts w:cstheme="minorHAnsi"/>
          <w:b/>
          <w:sz w:val="24"/>
          <w:szCs w:val="24"/>
        </w:rPr>
        <w:t>cinco años, cuatro meses</w:t>
      </w:r>
      <w:r w:rsidR="00441D1A" w:rsidRPr="00BE0974">
        <w:rPr>
          <w:rFonts w:cs="Arial"/>
          <w:sz w:val="24"/>
          <w:szCs w:val="24"/>
        </w:rPr>
        <w:t>.</w:t>
      </w:r>
    </w:p>
    <w:p w14:paraId="4B60A0E7" w14:textId="77777777" w:rsidR="00761167" w:rsidRPr="00BE0974" w:rsidRDefault="00761167" w:rsidP="00761167">
      <w:pPr>
        <w:tabs>
          <w:tab w:val="left" w:pos="284"/>
        </w:tabs>
        <w:spacing w:after="0" w:line="240" w:lineRule="auto"/>
        <w:ind w:right="-143"/>
        <w:jc w:val="both"/>
        <w:rPr>
          <w:b/>
          <w:bCs/>
          <w:sz w:val="24"/>
          <w:szCs w:val="24"/>
        </w:rPr>
      </w:pPr>
    </w:p>
    <w:p w14:paraId="0117CE3E" w14:textId="6350EEBE" w:rsidR="00F21748" w:rsidRPr="00BE0974" w:rsidRDefault="008E385D" w:rsidP="00F21748">
      <w:pPr>
        <w:pStyle w:val="NormalWeb"/>
        <w:tabs>
          <w:tab w:val="left" w:pos="284"/>
        </w:tabs>
        <w:spacing w:before="0" w:beforeAutospacing="0" w:after="0" w:afterAutospacing="0"/>
        <w:ind w:right="-143"/>
        <w:jc w:val="both"/>
        <w:rPr>
          <w:rFonts w:asciiTheme="minorHAnsi" w:hAnsiTheme="minorHAnsi" w:cstheme="minorHAnsi"/>
          <w:lang w:val="es-ES" w:eastAsia="es-ES"/>
        </w:rPr>
      </w:pPr>
      <w:r w:rsidRPr="00BE0974">
        <w:rPr>
          <w:rFonts w:asciiTheme="minorHAnsi" w:hAnsiTheme="minorHAnsi" w:cstheme="minorHAnsi"/>
          <w:b/>
        </w:rPr>
        <w:t>CUARTO</w:t>
      </w:r>
      <w:r w:rsidR="00F21748" w:rsidRPr="00BE0974">
        <w:rPr>
          <w:rFonts w:asciiTheme="minorHAnsi" w:hAnsiTheme="minorHAnsi" w:cstheme="minorHAnsi"/>
          <w:b/>
        </w:rPr>
        <w:t xml:space="preserve">. </w:t>
      </w:r>
      <w:r w:rsidR="00F21748" w:rsidRPr="00BE0974">
        <w:rPr>
          <w:rFonts w:asciiTheme="minorHAnsi" w:hAnsiTheme="minorHAnsi" w:cstheme="minorHAnsi"/>
        </w:rPr>
        <w:t xml:space="preserve">Notifíquese el presente Acuerdo, </w:t>
      </w:r>
      <w:r w:rsidR="00F21748" w:rsidRPr="00BE0974">
        <w:rPr>
          <w:rFonts w:asciiTheme="minorHAnsi" w:eastAsia="Calibri" w:hAnsiTheme="minorHAnsi" w:cstheme="minorHAnsi"/>
          <w:bCs/>
        </w:rPr>
        <w:t xml:space="preserve">mediante vía electrónica, por conducto de la Consejera Presidenta </w:t>
      </w:r>
      <w:r w:rsidRPr="00BE0974">
        <w:rPr>
          <w:rFonts w:asciiTheme="minorHAnsi" w:hAnsiTheme="minorHAnsi" w:cstheme="minorHAnsi"/>
          <w:bCs/>
        </w:rPr>
        <w:t xml:space="preserve">a la </w:t>
      </w:r>
      <w:bookmarkStart w:id="0" w:name="_GoBack"/>
      <w:r w:rsidRPr="00BE0974">
        <w:rPr>
          <w:rFonts w:asciiTheme="minorHAnsi" w:hAnsiTheme="minorHAnsi" w:cstheme="minorHAnsi"/>
          <w:bCs/>
        </w:rPr>
        <w:t>Coalición “JUNTOS HAREMOS HISTORIA EN QUINTANA ROO”</w:t>
      </w:r>
      <w:r w:rsidR="00F21748" w:rsidRPr="00BE0974">
        <w:rPr>
          <w:rFonts w:asciiTheme="minorHAnsi" w:eastAsia="Calibri" w:hAnsiTheme="minorHAnsi" w:cstheme="minorHAnsi"/>
          <w:bCs/>
        </w:rPr>
        <w:t xml:space="preserve">, </w:t>
      </w:r>
      <w:r w:rsidRPr="00BE0974">
        <w:rPr>
          <w:rFonts w:asciiTheme="minorHAnsi" w:eastAsia="Calibri" w:hAnsiTheme="minorHAnsi" w:cstheme="minorHAnsi"/>
          <w:bCs/>
        </w:rPr>
        <w:t>a través de las representaciones ante este Consejo General de los partidos que la integran</w:t>
      </w:r>
      <w:r w:rsidR="00F21748" w:rsidRPr="00BE0974">
        <w:rPr>
          <w:rFonts w:asciiTheme="minorHAnsi" w:hAnsiTheme="minorHAnsi" w:cstheme="minorHAnsi"/>
          <w:bCs/>
        </w:rPr>
        <w:t xml:space="preserve">, para que </w:t>
      </w:r>
      <w:r w:rsidR="00F21748" w:rsidRPr="00BE0974">
        <w:rPr>
          <w:rFonts w:asciiTheme="minorHAnsi" w:hAnsiTheme="minorHAnsi" w:cstheme="minorHAnsi"/>
          <w:b/>
          <w:bCs/>
        </w:rPr>
        <w:t xml:space="preserve">un término de cuarenta y ocho horas </w:t>
      </w:r>
      <w:r w:rsidR="00F21748" w:rsidRPr="00BE0974">
        <w:rPr>
          <w:rFonts w:asciiTheme="minorHAnsi" w:hAnsiTheme="minorHAnsi" w:cstheme="minorHAnsi"/>
          <w:bCs/>
        </w:rPr>
        <w:t xml:space="preserve">contadas a partir de la legal notificación del presente documento jurídico, realice la sustitución </w:t>
      </w:r>
      <w:r w:rsidR="00F21748" w:rsidRPr="00BE0974">
        <w:rPr>
          <w:rFonts w:asciiTheme="minorHAnsi" w:hAnsiTheme="minorHAnsi" w:cstheme="minorHAnsi"/>
        </w:rPr>
        <w:t xml:space="preserve">de la candidatura a </w:t>
      </w:r>
      <w:r w:rsidR="00E60316" w:rsidRPr="00BE0974">
        <w:rPr>
          <w:rFonts w:asciiTheme="minorHAnsi" w:hAnsiTheme="minorHAnsi" w:cstheme="minorHAnsi"/>
        </w:rPr>
        <w:t xml:space="preserve">la </w:t>
      </w:r>
      <w:r w:rsidRPr="00BE0974">
        <w:rPr>
          <w:rFonts w:asciiTheme="minorHAnsi" w:hAnsiTheme="minorHAnsi" w:cstheme="minorHAnsi"/>
        </w:rPr>
        <w:t>Presidencia Municipal</w:t>
      </w:r>
      <w:r w:rsidR="00E60316" w:rsidRPr="00BE0974">
        <w:rPr>
          <w:rFonts w:asciiTheme="minorHAnsi" w:hAnsiTheme="minorHAnsi" w:cstheme="minorHAnsi"/>
        </w:rPr>
        <w:t xml:space="preserve"> Propietaria</w:t>
      </w:r>
      <w:r w:rsidR="00F21748" w:rsidRPr="00BE0974">
        <w:rPr>
          <w:rFonts w:asciiTheme="minorHAnsi" w:hAnsiTheme="minorHAnsi" w:cstheme="minorHAnsi"/>
        </w:rPr>
        <w:t xml:space="preserve"> </w:t>
      </w:r>
      <w:r w:rsidR="00E60316" w:rsidRPr="00BE0974">
        <w:rPr>
          <w:rFonts w:asciiTheme="minorHAnsi" w:hAnsiTheme="minorHAnsi" w:cstheme="minorHAnsi"/>
        </w:rPr>
        <w:t>en</w:t>
      </w:r>
      <w:r w:rsidR="00F21748" w:rsidRPr="00BE0974">
        <w:rPr>
          <w:rFonts w:asciiTheme="minorHAnsi" w:hAnsiTheme="minorHAnsi" w:cstheme="minorHAnsi"/>
        </w:rPr>
        <w:t xml:space="preserve"> el </w:t>
      </w:r>
      <w:r w:rsidR="00E60316" w:rsidRPr="00BE0974">
        <w:rPr>
          <w:rFonts w:asciiTheme="minorHAnsi" w:hAnsiTheme="minorHAnsi" w:cstheme="minorHAnsi"/>
        </w:rPr>
        <w:t>A</w:t>
      </w:r>
      <w:r w:rsidR="00F21748" w:rsidRPr="00BE0974">
        <w:rPr>
          <w:rFonts w:asciiTheme="minorHAnsi" w:hAnsiTheme="minorHAnsi" w:cstheme="minorHAnsi"/>
        </w:rPr>
        <w:t xml:space="preserve">yuntamiento de </w:t>
      </w:r>
      <w:r w:rsidRPr="00BE0974">
        <w:rPr>
          <w:rFonts w:asciiTheme="minorHAnsi" w:hAnsiTheme="minorHAnsi" w:cstheme="minorHAnsi"/>
        </w:rPr>
        <w:t>Othón P. Blanco</w:t>
      </w:r>
      <w:r w:rsidR="00BB0C1B" w:rsidRPr="00BE0974">
        <w:rPr>
          <w:rFonts w:asciiTheme="minorHAnsi" w:hAnsiTheme="minorHAnsi" w:cstheme="minorHAnsi"/>
        </w:rPr>
        <w:t xml:space="preserve">, </w:t>
      </w:r>
      <w:r w:rsidR="00B3309B" w:rsidRPr="00BE0974">
        <w:rPr>
          <w:rFonts w:asciiTheme="minorHAnsi" w:hAnsiTheme="minorHAnsi" w:cstheme="minorHAnsi"/>
        </w:rPr>
        <w:t xml:space="preserve">en términos de lo referido en el Considerando </w:t>
      </w:r>
      <w:r w:rsidR="00D623FE" w:rsidRPr="00BE0974">
        <w:rPr>
          <w:rFonts w:asciiTheme="minorHAnsi" w:hAnsiTheme="minorHAnsi" w:cstheme="minorHAnsi"/>
        </w:rPr>
        <w:t>6</w:t>
      </w:r>
      <w:r w:rsidR="00F21748" w:rsidRPr="00BE0974">
        <w:rPr>
          <w:rFonts w:asciiTheme="minorHAnsi" w:hAnsiTheme="minorHAnsi" w:cstheme="minorHAnsi"/>
          <w:lang w:val="es-ES" w:eastAsia="es-ES"/>
        </w:rPr>
        <w:t>.</w:t>
      </w:r>
      <w:bookmarkEnd w:id="0"/>
    </w:p>
    <w:p w14:paraId="3146B844" w14:textId="77777777" w:rsidR="00F21748" w:rsidRPr="00BE0974" w:rsidRDefault="00F21748" w:rsidP="00761167">
      <w:pPr>
        <w:pStyle w:val="NormalWeb"/>
        <w:tabs>
          <w:tab w:val="left" w:pos="284"/>
        </w:tabs>
        <w:spacing w:before="0" w:beforeAutospacing="0" w:after="0" w:afterAutospacing="0"/>
        <w:ind w:right="-143"/>
        <w:jc w:val="both"/>
        <w:rPr>
          <w:rFonts w:ascii="Calibri" w:hAnsi="Calibri" w:cs="Calibri"/>
          <w:b/>
        </w:rPr>
      </w:pPr>
    </w:p>
    <w:p w14:paraId="56A066AB" w14:textId="3427225F" w:rsidR="00CC53A1" w:rsidRPr="00BE0974" w:rsidRDefault="008E385D" w:rsidP="00761167">
      <w:pPr>
        <w:pStyle w:val="NormalWeb"/>
        <w:tabs>
          <w:tab w:val="left" w:pos="284"/>
        </w:tabs>
        <w:spacing w:before="0" w:beforeAutospacing="0" w:after="0" w:afterAutospacing="0"/>
        <w:ind w:right="-143"/>
        <w:jc w:val="both"/>
        <w:rPr>
          <w:rFonts w:ascii="Calibri" w:hAnsi="Calibri" w:cs="Calibri"/>
          <w:bCs/>
        </w:rPr>
      </w:pPr>
      <w:r w:rsidRPr="00BE0974">
        <w:rPr>
          <w:rFonts w:ascii="Calibri" w:hAnsi="Calibri" w:cs="Calibri"/>
          <w:b/>
        </w:rPr>
        <w:t>QUINTO</w:t>
      </w:r>
      <w:r w:rsidR="00CC53A1" w:rsidRPr="00BE0974">
        <w:rPr>
          <w:rFonts w:ascii="Calibri" w:hAnsi="Calibri" w:cs="Calibri"/>
          <w:b/>
        </w:rPr>
        <w:t xml:space="preserve">. </w:t>
      </w:r>
      <w:r w:rsidR="00F21748" w:rsidRPr="00BE0974">
        <w:rPr>
          <w:rFonts w:ascii="Calibri" w:hAnsi="Calibri"/>
          <w:bCs/>
        </w:rPr>
        <w:t xml:space="preserve">Notifíquese el presente Acuerdo, mediante vía electrónica, </w:t>
      </w:r>
      <w:r w:rsidR="00441D1A" w:rsidRPr="00BE0974">
        <w:rPr>
          <w:rFonts w:ascii="Calibri" w:hAnsi="Calibri"/>
          <w:bCs/>
        </w:rPr>
        <w:t xml:space="preserve">por conducto </w:t>
      </w:r>
      <w:r w:rsidR="00F21748" w:rsidRPr="00BE0974">
        <w:rPr>
          <w:rFonts w:ascii="Calibri" w:hAnsi="Calibri"/>
          <w:bCs/>
        </w:rPr>
        <w:t>de la Consejera Presidenta</w:t>
      </w:r>
      <w:r w:rsidRPr="00BE0974">
        <w:rPr>
          <w:rFonts w:ascii="Calibri" w:hAnsi="Calibri"/>
          <w:bCs/>
        </w:rPr>
        <w:t>,</w:t>
      </w:r>
      <w:r w:rsidR="00F21748" w:rsidRPr="00BE0974">
        <w:rPr>
          <w:rFonts w:ascii="Calibri" w:hAnsi="Calibri"/>
          <w:bCs/>
        </w:rPr>
        <w:t xml:space="preserve"> </w:t>
      </w:r>
      <w:r w:rsidR="00F21748" w:rsidRPr="00BE0974">
        <w:rPr>
          <w:rFonts w:ascii="Calibri" w:hAnsi="Calibri" w:cs="Calibri"/>
          <w:bCs/>
        </w:rPr>
        <w:t>a</w:t>
      </w:r>
      <w:r w:rsidRPr="00BE0974">
        <w:rPr>
          <w:rFonts w:ascii="Calibri" w:hAnsi="Calibri" w:cs="Calibri"/>
          <w:bCs/>
        </w:rPr>
        <w:t xml:space="preserve"> la </w:t>
      </w:r>
      <w:r w:rsidRPr="00BE0974">
        <w:rPr>
          <w:rFonts w:asciiTheme="minorHAnsi" w:hAnsiTheme="minorHAnsi" w:cstheme="minorHAnsi"/>
        </w:rPr>
        <w:t>Sala Regional del Tribunal Electoral del Poder Judicial de la Federación, Tercera Circunscripción Plurinominal Electoral Federal</w:t>
      </w:r>
      <w:r w:rsidR="00F21748" w:rsidRPr="00BE0974">
        <w:rPr>
          <w:rFonts w:asciiTheme="minorHAnsi" w:hAnsiTheme="minorHAnsi" w:cstheme="minorHAnsi"/>
          <w:bCs/>
        </w:rPr>
        <w:t>,</w:t>
      </w:r>
      <w:r w:rsidR="00F21748" w:rsidRPr="00BE0974">
        <w:rPr>
          <w:rFonts w:ascii="Calibri" w:hAnsi="Calibri" w:cs="Calibri"/>
          <w:bCs/>
        </w:rPr>
        <w:t xml:space="preserve"> en un plazo no mayor a veinticuatro horas a partir de su</w:t>
      </w:r>
      <w:r w:rsidR="00F21748" w:rsidRPr="00BE0974">
        <w:rPr>
          <w:rFonts w:ascii="Calibri" w:hAnsi="Calibri"/>
          <w:bCs/>
        </w:rPr>
        <w:t xml:space="preserve"> aprobación.</w:t>
      </w:r>
    </w:p>
    <w:p w14:paraId="4F23C691" w14:textId="77777777" w:rsidR="00CC53A1" w:rsidRPr="00BE0974" w:rsidRDefault="00CC53A1" w:rsidP="00761167">
      <w:pPr>
        <w:pStyle w:val="NormalWeb"/>
        <w:tabs>
          <w:tab w:val="left" w:pos="284"/>
        </w:tabs>
        <w:spacing w:before="0" w:beforeAutospacing="0" w:after="0" w:afterAutospacing="0"/>
        <w:ind w:right="-143"/>
        <w:jc w:val="both"/>
        <w:rPr>
          <w:rFonts w:ascii="Calibri" w:hAnsi="Calibri" w:cs="Calibri"/>
          <w:b/>
        </w:rPr>
      </w:pPr>
    </w:p>
    <w:p w14:paraId="092D9B33" w14:textId="1392F78B" w:rsidR="008213EE" w:rsidRPr="00BE0974" w:rsidRDefault="008E385D" w:rsidP="008213EE">
      <w:pPr>
        <w:pStyle w:val="NormalWeb"/>
        <w:tabs>
          <w:tab w:val="left" w:pos="284"/>
        </w:tabs>
        <w:spacing w:before="0" w:beforeAutospacing="0" w:after="0" w:afterAutospacing="0"/>
        <w:ind w:right="-143"/>
        <w:jc w:val="both"/>
        <w:rPr>
          <w:rFonts w:ascii="Calibri" w:hAnsi="Calibri" w:cs="Calibri"/>
        </w:rPr>
      </w:pPr>
      <w:r w:rsidRPr="00BE0974">
        <w:rPr>
          <w:rFonts w:ascii="Calibri" w:hAnsi="Calibri" w:cs="Calibri"/>
          <w:b/>
        </w:rPr>
        <w:lastRenderedPageBreak/>
        <w:t>SEXTO</w:t>
      </w:r>
      <w:r w:rsidR="008213EE" w:rsidRPr="00BE0974">
        <w:rPr>
          <w:rFonts w:ascii="Calibri" w:hAnsi="Calibri" w:cs="Calibri"/>
          <w:b/>
        </w:rPr>
        <w:t xml:space="preserve">. </w:t>
      </w:r>
      <w:r w:rsidR="008213EE" w:rsidRPr="00BE0974">
        <w:rPr>
          <w:rFonts w:ascii="Calibri" w:hAnsi="Calibri" w:cs="Calibri"/>
        </w:rPr>
        <w:t xml:space="preserve">Se instruye a la Dirección de Partidos Políticos del Instituto, para que en términos del artículo 158, fracción VIII, de la Ley local, proceda a </w:t>
      </w:r>
      <w:r w:rsidRPr="00BE0974">
        <w:rPr>
          <w:rFonts w:ascii="Calibri" w:hAnsi="Calibri" w:cs="Calibri"/>
        </w:rPr>
        <w:t>cancelar</w:t>
      </w:r>
      <w:r w:rsidR="008213EE" w:rsidRPr="00BE0974">
        <w:rPr>
          <w:rFonts w:ascii="Calibri" w:hAnsi="Calibri" w:cs="Calibri"/>
        </w:rPr>
        <w:t xml:space="preserve"> en el libro </w:t>
      </w:r>
      <w:r w:rsidR="001F09AE" w:rsidRPr="00BE0974">
        <w:rPr>
          <w:rFonts w:ascii="Calibri" w:hAnsi="Calibri" w:cs="Calibri"/>
        </w:rPr>
        <w:t xml:space="preserve">respectivo </w:t>
      </w:r>
      <w:r w:rsidRPr="00BE0974">
        <w:rPr>
          <w:rFonts w:ascii="Calibri" w:hAnsi="Calibri" w:cs="Calibri"/>
        </w:rPr>
        <w:t>el registro correspondiente</w:t>
      </w:r>
      <w:r w:rsidR="001F09AE" w:rsidRPr="00BE0974">
        <w:rPr>
          <w:rFonts w:ascii="Calibri" w:hAnsi="Calibri" w:cs="Calibri"/>
        </w:rPr>
        <w:t>.</w:t>
      </w:r>
    </w:p>
    <w:p w14:paraId="7EA885CE" w14:textId="77777777" w:rsidR="002159F2" w:rsidRPr="00BE0974" w:rsidRDefault="002159F2" w:rsidP="00C73443">
      <w:pPr>
        <w:pStyle w:val="NormalWeb"/>
        <w:tabs>
          <w:tab w:val="left" w:pos="284"/>
        </w:tabs>
        <w:spacing w:before="0" w:beforeAutospacing="0" w:after="0" w:afterAutospacing="0"/>
        <w:ind w:right="-143"/>
        <w:jc w:val="both"/>
        <w:rPr>
          <w:rFonts w:ascii="Calibri" w:hAnsi="Calibri" w:cs="Calibri"/>
          <w:b/>
        </w:rPr>
      </w:pPr>
    </w:p>
    <w:p w14:paraId="7CF27EE2" w14:textId="5F16DD6A" w:rsidR="00C73443" w:rsidRPr="00BE0974" w:rsidRDefault="008E385D" w:rsidP="00C73443">
      <w:pPr>
        <w:pStyle w:val="NormalWeb"/>
        <w:tabs>
          <w:tab w:val="left" w:pos="284"/>
        </w:tabs>
        <w:spacing w:before="0" w:beforeAutospacing="0" w:after="0" w:afterAutospacing="0"/>
        <w:ind w:right="-143"/>
        <w:jc w:val="both"/>
        <w:rPr>
          <w:rFonts w:ascii="Calibri" w:hAnsi="Calibri"/>
        </w:rPr>
      </w:pPr>
      <w:r w:rsidRPr="00BE0974">
        <w:rPr>
          <w:rFonts w:ascii="Calibri" w:hAnsi="Calibri" w:cs="Calibri"/>
          <w:b/>
        </w:rPr>
        <w:t>SÉPTIMO</w:t>
      </w:r>
      <w:r w:rsidR="00C73443" w:rsidRPr="00BE0974">
        <w:rPr>
          <w:rFonts w:ascii="Calibri" w:hAnsi="Calibri" w:cs="Calibri"/>
          <w:b/>
        </w:rPr>
        <w:t xml:space="preserve">. </w:t>
      </w:r>
      <w:r w:rsidR="00667AF7" w:rsidRPr="00BE0974">
        <w:rPr>
          <w:rFonts w:ascii="Calibri" w:hAnsi="Calibri" w:cs="Calibri"/>
        </w:rPr>
        <w:t>Notifíquese e</w:t>
      </w:r>
      <w:r w:rsidR="00667AF7" w:rsidRPr="00BE0974">
        <w:rPr>
          <w:rFonts w:ascii="Calibri" w:hAnsi="Calibri"/>
        </w:rPr>
        <w:t xml:space="preserve">l presente Acuerdo, </w:t>
      </w:r>
      <w:r w:rsidR="00667AF7" w:rsidRPr="00BE0974">
        <w:rPr>
          <w:rFonts w:ascii="Calibri" w:eastAsia="Calibri" w:hAnsi="Calibri" w:cs="Calibri"/>
          <w:bCs/>
        </w:rPr>
        <w:t xml:space="preserve">mediante vía electrónica, por conducto de la Consejera Presidenta, </w:t>
      </w:r>
      <w:r w:rsidR="00667AF7" w:rsidRPr="00BE0974">
        <w:rPr>
          <w:rFonts w:ascii="Calibri" w:hAnsi="Calibri" w:cs="Calibri"/>
        </w:rPr>
        <w:t>a los titulares de la Unidad Técnica de Fiscalización y de la Dirección Ejecutiva de Prerrogativas y Partidos Políticos, a través de la Unidad Técnica de Vinculación con los Organismos Públicos Locales, todas del Instituto Nacional Electoral</w:t>
      </w:r>
      <w:r w:rsidR="00667AF7" w:rsidRPr="00BE0974">
        <w:rPr>
          <w:rFonts w:ascii="Calibri" w:eastAsia="Calibri" w:hAnsi="Calibri" w:cs="Calibri"/>
        </w:rPr>
        <w:t xml:space="preserve">, </w:t>
      </w:r>
      <w:r w:rsidR="00667AF7" w:rsidRPr="00BE0974">
        <w:rPr>
          <w:rFonts w:ascii="Calibri" w:hAnsi="Calibri"/>
        </w:rPr>
        <w:t>para los efectos conducentes</w:t>
      </w:r>
      <w:r w:rsidR="00C73443" w:rsidRPr="00BE0974">
        <w:rPr>
          <w:rFonts w:ascii="Calibri" w:hAnsi="Calibri"/>
        </w:rPr>
        <w:t>.</w:t>
      </w:r>
    </w:p>
    <w:p w14:paraId="068966AF" w14:textId="77777777" w:rsidR="008213EE" w:rsidRPr="00BE0974" w:rsidRDefault="008213EE" w:rsidP="00C73443">
      <w:pPr>
        <w:pStyle w:val="NormalWeb"/>
        <w:tabs>
          <w:tab w:val="left" w:pos="284"/>
        </w:tabs>
        <w:spacing w:before="0" w:beforeAutospacing="0" w:after="0" w:afterAutospacing="0"/>
        <w:ind w:right="-143"/>
        <w:jc w:val="both"/>
        <w:rPr>
          <w:rFonts w:ascii="Calibri" w:hAnsi="Calibri"/>
        </w:rPr>
      </w:pPr>
    </w:p>
    <w:p w14:paraId="47BB2BEB" w14:textId="2F33B1C2" w:rsidR="00CC53A1" w:rsidRPr="00BE0974" w:rsidRDefault="008E385D" w:rsidP="00CC53A1">
      <w:pPr>
        <w:pStyle w:val="NormalWeb"/>
        <w:tabs>
          <w:tab w:val="left" w:pos="284"/>
        </w:tabs>
        <w:spacing w:before="0" w:beforeAutospacing="0" w:after="0" w:afterAutospacing="0"/>
        <w:ind w:right="-143"/>
        <w:jc w:val="both"/>
        <w:rPr>
          <w:rFonts w:ascii="Calibri" w:eastAsia="Calibri" w:hAnsi="Calibri" w:cs="Calibri"/>
          <w:bCs/>
        </w:rPr>
      </w:pPr>
      <w:r w:rsidRPr="00BE0974">
        <w:rPr>
          <w:rFonts w:ascii="Calibri" w:hAnsi="Calibri" w:cs="Calibri"/>
          <w:b/>
        </w:rPr>
        <w:t>OCTAVO</w:t>
      </w:r>
      <w:r w:rsidR="00CC53A1" w:rsidRPr="00BE0974">
        <w:rPr>
          <w:rFonts w:ascii="Calibri" w:hAnsi="Calibri" w:cs="Calibri"/>
          <w:b/>
        </w:rPr>
        <w:t xml:space="preserve">. </w:t>
      </w:r>
      <w:r w:rsidR="00CC53A1" w:rsidRPr="00BE0974">
        <w:rPr>
          <w:rFonts w:ascii="Calibri" w:hAnsi="Calibri" w:cs="Calibri"/>
        </w:rPr>
        <w:t>Notifíquese</w:t>
      </w:r>
      <w:r w:rsidR="00CC53A1" w:rsidRPr="00BE0974">
        <w:rPr>
          <w:rFonts w:ascii="Calibri" w:eastAsia="Calibri" w:hAnsi="Calibri" w:cs="Calibri"/>
          <w:bCs/>
        </w:rPr>
        <w:t xml:space="preserve"> el presente Acuerdo, mediante vía electrónica, por conducto de la Secretaria Ejecutiva, a las y los integrantes del Consejo General, de la Junta General y al Titular del Órgano Interno de Control del Instituto Electoral de Quintana Roo.</w:t>
      </w:r>
    </w:p>
    <w:p w14:paraId="2DD7A215" w14:textId="4471C011" w:rsidR="00CC53A1" w:rsidRPr="00BE0974" w:rsidRDefault="00CC53A1" w:rsidP="00CC53A1">
      <w:pPr>
        <w:pStyle w:val="NormalWeb"/>
        <w:tabs>
          <w:tab w:val="left" w:pos="284"/>
        </w:tabs>
        <w:spacing w:before="0" w:beforeAutospacing="0" w:after="0" w:afterAutospacing="0"/>
        <w:ind w:right="-143"/>
        <w:jc w:val="both"/>
        <w:rPr>
          <w:rFonts w:ascii="Calibri" w:eastAsia="Calibri" w:hAnsi="Calibri" w:cs="Calibri"/>
          <w:bCs/>
        </w:rPr>
      </w:pPr>
    </w:p>
    <w:p w14:paraId="73C54127" w14:textId="4E15DD22" w:rsidR="00761167" w:rsidRPr="00BE0974" w:rsidRDefault="008E385D" w:rsidP="00761167">
      <w:pPr>
        <w:pStyle w:val="Textoindependiente"/>
        <w:tabs>
          <w:tab w:val="left" w:pos="284"/>
        </w:tabs>
        <w:spacing w:line="240" w:lineRule="auto"/>
        <w:ind w:right="-143"/>
        <w:rPr>
          <w:rFonts w:ascii="Calibri" w:hAnsi="Calibri" w:cs="Calibri"/>
        </w:rPr>
      </w:pPr>
      <w:r w:rsidRPr="00BE0974">
        <w:rPr>
          <w:rFonts w:ascii="Calibri" w:hAnsi="Calibri" w:cs="Calibri"/>
          <w:b/>
        </w:rPr>
        <w:t>NOVENO</w:t>
      </w:r>
      <w:r w:rsidR="00CB17FA" w:rsidRPr="00BE0974">
        <w:rPr>
          <w:rFonts w:ascii="Calibri" w:hAnsi="Calibri" w:cs="Calibri"/>
          <w:b/>
        </w:rPr>
        <w:t xml:space="preserve">. </w:t>
      </w:r>
      <w:r w:rsidR="00CB17FA" w:rsidRPr="00BE0974">
        <w:rPr>
          <w:rFonts w:ascii="Calibri" w:hAnsi="Calibri" w:cs="Calibri"/>
        </w:rPr>
        <w:t>Fíjese y difúndase el presente Acuerdo en los estrados y página oficial de Internet del Instituto Electoral de Quintana Roo.</w:t>
      </w:r>
    </w:p>
    <w:p w14:paraId="71615FCA" w14:textId="77777777" w:rsidR="00761167" w:rsidRPr="00BE0974" w:rsidRDefault="00761167" w:rsidP="00761167">
      <w:pPr>
        <w:pStyle w:val="Textoindependiente"/>
        <w:tabs>
          <w:tab w:val="left" w:pos="284"/>
        </w:tabs>
        <w:spacing w:line="240" w:lineRule="auto"/>
        <w:ind w:right="-143"/>
        <w:rPr>
          <w:rFonts w:ascii="Calibri" w:hAnsi="Calibri" w:cs="Times New Roman"/>
          <w:b/>
          <w:bCs/>
        </w:rPr>
      </w:pPr>
    </w:p>
    <w:p w14:paraId="3FA4B481" w14:textId="3CC50751" w:rsidR="00761167" w:rsidRPr="00BE0974" w:rsidRDefault="008E385D" w:rsidP="00761167">
      <w:pPr>
        <w:pStyle w:val="Textoindependiente"/>
        <w:tabs>
          <w:tab w:val="left" w:pos="284"/>
        </w:tabs>
        <w:spacing w:line="240" w:lineRule="auto"/>
        <w:ind w:right="-143"/>
        <w:rPr>
          <w:rFonts w:ascii="Calibri" w:hAnsi="Calibri" w:cs="Times New Roman"/>
        </w:rPr>
      </w:pPr>
      <w:r w:rsidRPr="00BE0974">
        <w:rPr>
          <w:rFonts w:ascii="Calibri" w:hAnsi="Calibri" w:cs="Times New Roman"/>
          <w:b/>
        </w:rPr>
        <w:t>DÉCIMO</w:t>
      </w:r>
      <w:r w:rsidR="00761167" w:rsidRPr="00BE0974">
        <w:rPr>
          <w:rFonts w:ascii="Calibri" w:hAnsi="Calibri" w:cs="Times New Roman"/>
          <w:b/>
        </w:rPr>
        <w:t>.</w:t>
      </w:r>
      <w:r w:rsidR="00761167" w:rsidRPr="00BE0974">
        <w:rPr>
          <w:rFonts w:ascii="Calibri" w:hAnsi="Calibri" w:cs="Times New Roman"/>
        </w:rPr>
        <w:t xml:space="preserve"> Cúmplase.</w:t>
      </w:r>
    </w:p>
    <w:p w14:paraId="2CAD96E6" w14:textId="77777777" w:rsidR="00761167" w:rsidRPr="00BE0974" w:rsidRDefault="00761167" w:rsidP="00761167">
      <w:pPr>
        <w:pStyle w:val="Textoindependiente"/>
        <w:tabs>
          <w:tab w:val="left" w:pos="284"/>
        </w:tabs>
        <w:spacing w:line="240" w:lineRule="auto"/>
        <w:ind w:right="-143"/>
        <w:rPr>
          <w:rFonts w:ascii="Calibri" w:hAnsi="Calibri" w:cs="Calibri"/>
          <w:b/>
          <w:bCs/>
        </w:rPr>
      </w:pPr>
    </w:p>
    <w:p w14:paraId="271ECA15" w14:textId="2A881167" w:rsidR="00761167" w:rsidRPr="00BE0974" w:rsidRDefault="00CB17FA" w:rsidP="00761167">
      <w:pPr>
        <w:tabs>
          <w:tab w:val="left" w:pos="284"/>
        </w:tabs>
        <w:autoSpaceDE w:val="0"/>
        <w:autoSpaceDN w:val="0"/>
        <w:adjustRightInd w:val="0"/>
        <w:spacing w:after="0" w:line="240" w:lineRule="auto"/>
        <w:ind w:right="-143"/>
        <w:jc w:val="both"/>
        <w:rPr>
          <w:rFonts w:eastAsia="Times New Roman" w:cs="Arial"/>
          <w:b/>
          <w:bCs/>
          <w:lang w:val="es-ES" w:eastAsia="es-ES"/>
        </w:rPr>
      </w:pPr>
      <w:r w:rsidRPr="00BE0974">
        <w:rPr>
          <w:rFonts w:eastAsia="Times New Roman" w:cs="Calibri"/>
          <w:b/>
          <w:bCs/>
          <w:sz w:val="24"/>
          <w:szCs w:val="24"/>
          <w:lang w:eastAsia="es-ES"/>
        </w:rPr>
        <w:t xml:space="preserve">Así lo aprobaron por </w:t>
      </w:r>
      <w:r w:rsidR="00DF3A5C" w:rsidRPr="00BE0974">
        <w:rPr>
          <w:rFonts w:eastAsia="Times New Roman" w:cs="Calibri"/>
          <w:b/>
          <w:bCs/>
          <w:sz w:val="24"/>
          <w:szCs w:val="24"/>
          <w:lang w:eastAsia="es-ES"/>
        </w:rPr>
        <w:t>___________</w:t>
      </w:r>
      <w:r w:rsidR="00726EDF" w:rsidRPr="00BE0974">
        <w:rPr>
          <w:rFonts w:eastAsia="Times New Roman" w:cs="Calibri"/>
          <w:b/>
          <w:bCs/>
          <w:sz w:val="24"/>
          <w:szCs w:val="24"/>
          <w:lang w:eastAsia="es-ES"/>
        </w:rPr>
        <w:t xml:space="preserve"> </w:t>
      </w:r>
      <w:r w:rsidRPr="00BE0974">
        <w:rPr>
          <w:rFonts w:eastAsia="Times New Roman" w:cs="Calibri"/>
          <w:b/>
          <w:bCs/>
          <w:sz w:val="24"/>
          <w:szCs w:val="24"/>
          <w:lang w:eastAsia="es-ES"/>
        </w:rPr>
        <w:t xml:space="preserve">de votos, la Consejera Presidenta Mayra San Román Carrillo Medina; las consejeras electorales Thalía Hernández Robledo y Elizabeth Arredondo Gorocica; los consejeros electorales Juan Manuel Pérez Alpuche, Jorge Armando Poot Pech, Adrián Amílcar Sauri Manzanilla y Juan César Hernández Cruz, del Consejo General del Instituto Electoral de Quintana Roo, en sesión </w:t>
      </w:r>
      <w:r w:rsidR="00DF3A5C" w:rsidRPr="00BE0974">
        <w:rPr>
          <w:rFonts w:eastAsia="Times New Roman" w:cs="Calibri"/>
          <w:b/>
          <w:bCs/>
          <w:sz w:val="24"/>
          <w:szCs w:val="24"/>
          <w:lang w:eastAsia="es-ES"/>
        </w:rPr>
        <w:t>______</w:t>
      </w:r>
      <w:r w:rsidR="00921B8E" w:rsidRPr="00BE0974">
        <w:rPr>
          <w:rFonts w:eastAsia="Times New Roman" w:cs="Calibri"/>
          <w:b/>
          <w:bCs/>
          <w:sz w:val="24"/>
          <w:szCs w:val="24"/>
          <w:lang w:eastAsia="es-ES"/>
        </w:rPr>
        <w:t xml:space="preserve"> </w:t>
      </w:r>
      <w:r w:rsidRPr="00BE0974">
        <w:rPr>
          <w:rFonts w:eastAsia="Times New Roman" w:cs="Calibri"/>
          <w:b/>
          <w:bCs/>
          <w:sz w:val="24"/>
          <w:szCs w:val="24"/>
          <w:lang w:eastAsia="es-ES"/>
        </w:rPr>
        <w:t xml:space="preserve">celebrada el </w:t>
      </w:r>
      <w:r w:rsidR="00033DAB" w:rsidRPr="00BE0974">
        <w:rPr>
          <w:rFonts w:eastAsia="Times New Roman" w:cs="Calibri"/>
          <w:b/>
          <w:bCs/>
          <w:sz w:val="24"/>
          <w:szCs w:val="24"/>
          <w:lang w:eastAsia="es-ES"/>
        </w:rPr>
        <w:t xml:space="preserve">día </w:t>
      </w:r>
      <w:r w:rsidR="00DF3A5C" w:rsidRPr="00BE0974">
        <w:rPr>
          <w:rFonts w:eastAsia="Times New Roman" w:cs="Calibri"/>
          <w:b/>
          <w:bCs/>
          <w:sz w:val="24"/>
          <w:szCs w:val="24"/>
          <w:lang w:eastAsia="es-ES"/>
        </w:rPr>
        <w:t>_____</w:t>
      </w:r>
      <w:r w:rsidRPr="00BE0974">
        <w:rPr>
          <w:rFonts w:eastAsia="Times New Roman" w:cs="Calibri"/>
          <w:b/>
          <w:bCs/>
          <w:sz w:val="24"/>
          <w:szCs w:val="24"/>
          <w:lang w:eastAsia="es-ES"/>
        </w:rPr>
        <w:t xml:space="preserve"> del mes de </w:t>
      </w:r>
      <w:r w:rsidR="00DF3A5C" w:rsidRPr="00BE0974">
        <w:rPr>
          <w:rFonts w:eastAsia="Times New Roman" w:cs="Calibri"/>
          <w:b/>
          <w:bCs/>
          <w:sz w:val="24"/>
          <w:szCs w:val="24"/>
          <w:lang w:eastAsia="es-ES"/>
        </w:rPr>
        <w:t>mayo</w:t>
      </w:r>
      <w:r w:rsidRPr="00BE0974">
        <w:rPr>
          <w:rFonts w:eastAsia="Times New Roman" w:cs="Calibri"/>
          <w:b/>
          <w:bCs/>
          <w:sz w:val="24"/>
          <w:szCs w:val="24"/>
          <w:lang w:eastAsia="es-ES"/>
        </w:rPr>
        <w:t xml:space="preserve"> del año dos mil veintiuno en la Ciudad de Chetumal, Capital del Estado de Quintana Roo.</w:t>
      </w:r>
    </w:p>
    <w:p w14:paraId="633B4478" w14:textId="77777777" w:rsidR="00761167" w:rsidRPr="00BE0974" w:rsidRDefault="00761167"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p w14:paraId="73BE9C50" w14:textId="6061ACD7" w:rsidR="00761167" w:rsidRPr="00BE0974" w:rsidRDefault="00761167"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p w14:paraId="1E309E35" w14:textId="77777777" w:rsidR="00921B8E" w:rsidRPr="00BE0974" w:rsidRDefault="00921B8E"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p w14:paraId="727F9867" w14:textId="1DF6D955" w:rsidR="00761167" w:rsidRPr="00BE0974" w:rsidRDefault="00761167"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p w14:paraId="21FC57F0" w14:textId="66E1152C" w:rsidR="006B5889" w:rsidRPr="00BE0974" w:rsidRDefault="006B5889"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p w14:paraId="63F61E96" w14:textId="77777777" w:rsidR="006B5889" w:rsidRPr="00BE0974" w:rsidRDefault="006B5889" w:rsidP="00761167">
      <w:pPr>
        <w:tabs>
          <w:tab w:val="left" w:pos="284"/>
        </w:tabs>
        <w:autoSpaceDE w:val="0"/>
        <w:autoSpaceDN w:val="0"/>
        <w:adjustRightInd w:val="0"/>
        <w:spacing w:after="0" w:line="240" w:lineRule="auto"/>
        <w:ind w:right="-143"/>
        <w:jc w:val="both"/>
        <w:rPr>
          <w:rFonts w:eastAsia="Times New Roman" w:cs="Arial"/>
          <w:b/>
          <w:bCs/>
          <w:lang w:val="es-ES" w:eastAsia="es-ES"/>
        </w:rPr>
      </w:pPr>
    </w:p>
    <w:tbl>
      <w:tblPr>
        <w:tblW w:w="0" w:type="auto"/>
        <w:jc w:val="center"/>
        <w:tblLook w:val="04A0" w:firstRow="1" w:lastRow="0" w:firstColumn="1" w:lastColumn="0" w:noHBand="0" w:noVBand="1"/>
      </w:tblPr>
      <w:tblGrid>
        <w:gridCol w:w="4513"/>
        <w:gridCol w:w="4523"/>
      </w:tblGrid>
      <w:tr w:rsidR="00BE0974" w:rsidRPr="00BE0974" w14:paraId="5DB43D64" w14:textId="77777777" w:rsidTr="00F02789">
        <w:trPr>
          <w:jc w:val="center"/>
        </w:trPr>
        <w:tc>
          <w:tcPr>
            <w:tcW w:w="4513" w:type="dxa"/>
            <w:shd w:val="clear" w:color="auto" w:fill="auto"/>
          </w:tcPr>
          <w:p w14:paraId="2DE655AF" w14:textId="77777777" w:rsidR="00761167" w:rsidRPr="00BE0974" w:rsidRDefault="00761167" w:rsidP="00F02789">
            <w:pPr>
              <w:tabs>
                <w:tab w:val="left" w:pos="284"/>
              </w:tabs>
              <w:autoSpaceDE w:val="0"/>
              <w:autoSpaceDN w:val="0"/>
              <w:adjustRightInd w:val="0"/>
              <w:spacing w:after="0" w:line="240" w:lineRule="auto"/>
              <w:ind w:left="-125"/>
              <w:jc w:val="both"/>
              <w:rPr>
                <w:rFonts w:cs="Calibri"/>
                <w:b/>
                <w:bCs/>
              </w:rPr>
            </w:pPr>
            <w:r w:rsidRPr="00BE0974">
              <w:rPr>
                <w:rFonts w:cs="Calibri"/>
                <w:b/>
                <w:bCs/>
              </w:rPr>
              <w:t>MTRA. MAYRA SAN ROMÁN CARRILLO MEDINA</w:t>
            </w:r>
          </w:p>
          <w:p w14:paraId="7871DFF4" w14:textId="77777777" w:rsidR="00761167" w:rsidRPr="00BE0974" w:rsidRDefault="00761167" w:rsidP="00F02789">
            <w:pPr>
              <w:tabs>
                <w:tab w:val="left" w:pos="284"/>
              </w:tabs>
              <w:autoSpaceDE w:val="0"/>
              <w:autoSpaceDN w:val="0"/>
              <w:adjustRightInd w:val="0"/>
              <w:spacing w:after="0" w:line="240" w:lineRule="auto"/>
              <w:ind w:left="-125"/>
              <w:jc w:val="center"/>
              <w:rPr>
                <w:rFonts w:cs="Calibri"/>
                <w:b/>
                <w:bCs/>
              </w:rPr>
            </w:pPr>
            <w:r w:rsidRPr="00BE0974">
              <w:rPr>
                <w:rFonts w:cs="Calibri"/>
                <w:b/>
                <w:bCs/>
              </w:rPr>
              <w:t>CONSEJERA PRESIDENTA</w:t>
            </w:r>
          </w:p>
        </w:tc>
        <w:tc>
          <w:tcPr>
            <w:tcW w:w="4523" w:type="dxa"/>
            <w:shd w:val="clear" w:color="auto" w:fill="auto"/>
          </w:tcPr>
          <w:p w14:paraId="43A99B7C" w14:textId="77777777" w:rsidR="00761167" w:rsidRPr="00BE0974" w:rsidRDefault="00761167" w:rsidP="00F02789">
            <w:pPr>
              <w:tabs>
                <w:tab w:val="left" w:pos="284"/>
              </w:tabs>
              <w:autoSpaceDE w:val="0"/>
              <w:autoSpaceDN w:val="0"/>
              <w:adjustRightInd w:val="0"/>
              <w:spacing w:after="0" w:line="240" w:lineRule="auto"/>
              <w:jc w:val="both"/>
              <w:rPr>
                <w:rFonts w:cs="Calibri"/>
                <w:b/>
                <w:bCs/>
              </w:rPr>
            </w:pPr>
            <w:r w:rsidRPr="00BE0974">
              <w:rPr>
                <w:rFonts w:cs="Calibri"/>
                <w:b/>
                <w:bCs/>
              </w:rPr>
              <w:t xml:space="preserve">   LIC. MAOGANY CRYSTEL ACOPA CONTRERAS</w:t>
            </w:r>
          </w:p>
          <w:p w14:paraId="5CBECA06" w14:textId="77777777" w:rsidR="00761167" w:rsidRPr="00BE0974" w:rsidRDefault="00761167" w:rsidP="00F02789">
            <w:pPr>
              <w:tabs>
                <w:tab w:val="left" w:pos="284"/>
              </w:tabs>
              <w:autoSpaceDE w:val="0"/>
              <w:autoSpaceDN w:val="0"/>
              <w:adjustRightInd w:val="0"/>
              <w:spacing w:after="0" w:line="240" w:lineRule="auto"/>
              <w:jc w:val="both"/>
              <w:rPr>
                <w:rFonts w:cs="Calibri"/>
                <w:b/>
                <w:bCs/>
              </w:rPr>
            </w:pPr>
            <w:r w:rsidRPr="00BE0974">
              <w:rPr>
                <w:rFonts w:cs="Calibri"/>
                <w:b/>
                <w:bCs/>
              </w:rPr>
              <w:t xml:space="preserve">                        SECRETARIA EJECUTIVA</w:t>
            </w:r>
          </w:p>
          <w:p w14:paraId="1E592A30" w14:textId="77777777" w:rsidR="00761167" w:rsidRPr="00BE0974" w:rsidRDefault="00761167" w:rsidP="00F02789">
            <w:pPr>
              <w:tabs>
                <w:tab w:val="left" w:pos="284"/>
              </w:tabs>
              <w:autoSpaceDE w:val="0"/>
              <w:autoSpaceDN w:val="0"/>
              <w:adjustRightInd w:val="0"/>
              <w:spacing w:after="0" w:line="240" w:lineRule="auto"/>
              <w:jc w:val="both"/>
              <w:rPr>
                <w:rFonts w:cs="Calibri"/>
                <w:b/>
                <w:bCs/>
              </w:rPr>
            </w:pPr>
          </w:p>
        </w:tc>
      </w:tr>
    </w:tbl>
    <w:p w14:paraId="2C1BBC21" w14:textId="2AD3D536" w:rsidR="009223A9" w:rsidRPr="00BE0974" w:rsidRDefault="00733B44" w:rsidP="006B5889">
      <w:pPr>
        <w:jc w:val="both"/>
        <w:rPr>
          <w:rFonts w:cstheme="minorHAnsi"/>
          <w:sz w:val="15"/>
          <w:szCs w:val="15"/>
        </w:rPr>
      </w:pPr>
      <w:r w:rsidRPr="00BE0974">
        <w:rPr>
          <w:b/>
          <w:sz w:val="15"/>
          <w:szCs w:val="15"/>
        </w:rPr>
        <w:t>La presente hoja de firmas es parte integrante del Acuerdo IEQROO/CG/A-</w:t>
      </w:r>
      <w:r w:rsidR="00DF3A5C" w:rsidRPr="00BE0974">
        <w:rPr>
          <w:b/>
          <w:sz w:val="15"/>
          <w:szCs w:val="15"/>
        </w:rPr>
        <w:t>___</w:t>
      </w:r>
      <w:r w:rsidR="00761167" w:rsidRPr="00BE0974">
        <w:rPr>
          <w:b/>
          <w:sz w:val="15"/>
          <w:szCs w:val="15"/>
        </w:rPr>
        <w:t>-2021</w:t>
      </w:r>
      <w:r w:rsidRPr="00BE0974">
        <w:rPr>
          <w:b/>
          <w:sz w:val="15"/>
          <w:szCs w:val="15"/>
        </w:rPr>
        <w:t xml:space="preserve"> del Consejo General del Instituto Electoral de Quintana Roo.</w:t>
      </w:r>
    </w:p>
    <w:sectPr w:rsidR="009223A9" w:rsidRPr="00BE0974" w:rsidSect="0034795E">
      <w:headerReference w:type="even" r:id="rId7"/>
      <w:headerReference w:type="default" r:id="rId8"/>
      <w:footerReference w:type="default" r:id="rId9"/>
      <w:headerReference w:type="first" r:id="rId10"/>
      <w:pgSz w:w="12240" w:h="15840"/>
      <w:pgMar w:top="1702" w:right="1467" w:bottom="1276"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E841D" w14:textId="77777777" w:rsidR="00346F14" w:rsidRDefault="00346F14" w:rsidP="00E170DB">
      <w:pPr>
        <w:spacing w:after="0" w:line="240" w:lineRule="auto"/>
      </w:pPr>
      <w:r>
        <w:separator/>
      </w:r>
    </w:p>
  </w:endnote>
  <w:endnote w:type="continuationSeparator" w:id="0">
    <w:p w14:paraId="7CBCF72A" w14:textId="77777777" w:rsidR="00346F14" w:rsidRDefault="00346F14" w:rsidP="00E17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425982"/>
      <w:docPartObj>
        <w:docPartGallery w:val="Page Numbers (Bottom of Page)"/>
        <w:docPartUnique/>
      </w:docPartObj>
    </w:sdtPr>
    <w:sdtEndPr/>
    <w:sdtContent>
      <w:p w14:paraId="394B6226" w14:textId="77777777" w:rsidR="00543AED" w:rsidRDefault="00543AED" w:rsidP="00F02789">
        <w:pPr>
          <w:pStyle w:val="Piedepgina"/>
          <w:spacing w:after="288"/>
          <w:contextualSpacing/>
          <w:jc w:val="center"/>
        </w:pPr>
        <w:r w:rsidRPr="007C55DB">
          <w:rPr>
            <w:noProof/>
            <w:lang w:eastAsia="es-MX"/>
          </w:rPr>
          <w:drawing>
            <wp:anchor distT="0" distB="0" distL="114300" distR="114300" simplePos="0" relativeHeight="251656192" behindDoc="1" locked="0" layoutInCell="1" allowOverlap="1" wp14:anchorId="26ECDC90" wp14:editId="67D63895">
              <wp:simplePos x="0" y="0"/>
              <wp:positionH relativeFrom="margin">
                <wp:posOffset>-43815</wp:posOffset>
              </wp:positionH>
              <wp:positionV relativeFrom="paragraph">
                <wp:posOffset>113030</wp:posOffset>
              </wp:positionV>
              <wp:extent cx="6515100" cy="19050"/>
              <wp:effectExtent l="0" t="0" r="0" b="0"/>
              <wp:wrapNone/>
              <wp:docPr id="4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19050"/>
                      </a:xfrm>
                      <a:prstGeom prst="rect">
                        <a:avLst/>
                      </a:prstGeom>
                      <a:noFill/>
                      <a:ln>
                        <a:noFill/>
                      </a:ln>
                    </pic:spPr>
                  </pic:pic>
                </a:graphicData>
              </a:graphic>
            </wp:anchor>
          </w:drawing>
        </w:r>
      </w:p>
      <w:p w14:paraId="1C012007" w14:textId="77777777" w:rsidR="00543AED" w:rsidRPr="00FA7FB0" w:rsidRDefault="00543AED" w:rsidP="00F02789">
        <w:pPr>
          <w:pStyle w:val="Piedepgina"/>
          <w:spacing w:after="288"/>
          <w:contextualSpacing/>
          <w:jc w:val="center"/>
          <w:rPr>
            <w:rFonts w:cstheme="minorHAnsi"/>
            <w:sz w:val="18"/>
            <w:szCs w:val="20"/>
          </w:rPr>
        </w:pPr>
        <w:r w:rsidRPr="00FA7FB0">
          <w:rPr>
            <w:rFonts w:cstheme="minorHAnsi"/>
            <w:sz w:val="18"/>
            <w:szCs w:val="20"/>
          </w:rPr>
          <w:t>Av. Calzada Veracruz 121, Colonia Barrio Bravo, Chetumal Quintana Roo, México.</w:t>
        </w:r>
      </w:p>
      <w:p w14:paraId="7236664F" w14:textId="6F78A27D" w:rsidR="00543AED" w:rsidRPr="003C7723" w:rsidRDefault="00543AED" w:rsidP="00F02789">
        <w:pPr>
          <w:pStyle w:val="Piedepgina"/>
          <w:jc w:val="right"/>
        </w:pPr>
        <w:r w:rsidRPr="00FA7FB0">
          <w:rPr>
            <w:rFonts w:cstheme="minorHAnsi"/>
            <w:sz w:val="18"/>
            <w:szCs w:val="20"/>
          </w:rPr>
          <w:t>Teléfonos 01 (983) 832 19 20 y 01 (983) 832 89 99, C.P. 77098</w:t>
        </w:r>
        <w:r>
          <w:rPr>
            <w:rFonts w:cstheme="minorHAnsi"/>
            <w:sz w:val="18"/>
            <w:szCs w:val="20"/>
          </w:rPr>
          <w:t xml:space="preserve">                                                       </w:t>
        </w:r>
        <w:r>
          <w:fldChar w:fldCharType="begin"/>
        </w:r>
        <w:r>
          <w:instrText xml:space="preserve"> PAGE   \* MERGEFORMAT </w:instrText>
        </w:r>
        <w:r>
          <w:fldChar w:fldCharType="separate"/>
        </w:r>
        <w:r w:rsidR="009E451B">
          <w:rPr>
            <w:noProof/>
          </w:rPr>
          <w:t>7</w:t>
        </w:r>
        <w:r>
          <w:rPr>
            <w:noProof/>
          </w:rPr>
          <w:fldChar w:fldCharType="end"/>
        </w:r>
      </w:p>
      <w:p w14:paraId="2BFFE6A0" w14:textId="77777777" w:rsidR="00543AED" w:rsidRPr="00FA7FB0" w:rsidRDefault="00543AED" w:rsidP="00F02789">
        <w:pPr>
          <w:pStyle w:val="Piedepgina"/>
          <w:spacing w:after="288"/>
          <w:contextualSpacing/>
          <w:jc w:val="center"/>
          <w:rPr>
            <w:rFonts w:cstheme="minorHAnsi"/>
            <w:sz w:val="18"/>
            <w:szCs w:val="20"/>
            <w:lang w:val="en-US"/>
          </w:rPr>
        </w:pPr>
        <w:r w:rsidRPr="00FA7FB0">
          <w:rPr>
            <w:rFonts w:cstheme="minorHAnsi"/>
            <w:sz w:val="18"/>
            <w:szCs w:val="20"/>
            <w:lang w:val="en-US"/>
          </w:rPr>
          <w:t xml:space="preserve">Página web </w:t>
        </w:r>
        <w:r w:rsidRPr="00FA7FB0">
          <w:rPr>
            <w:rFonts w:cstheme="minorHAnsi"/>
            <w:b/>
            <w:sz w:val="18"/>
            <w:szCs w:val="20"/>
            <w:lang w:val="en-US"/>
          </w:rPr>
          <w:t>www.ieqroo.org.mx</w:t>
        </w:r>
        <w:r w:rsidRPr="00FA7FB0">
          <w:rPr>
            <w:rFonts w:cstheme="minorHAnsi"/>
            <w:sz w:val="18"/>
            <w:szCs w:val="20"/>
            <w:lang w:val="en-US"/>
          </w:rPr>
          <w:t xml:space="preserve">   /   Facebook</w:t>
        </w:r>
        <w:r w:rsidRPr="00FA7FB0">
          <w:rPr>
            <w:rFonts w:cstheme="minorHAnsi"/>
            <w:b/>
            <w:sz w:val="18"/>
            <w:szCs w:val="20"/>
            <w:lang w:val="en-US"/>
          </w:rPr>
          <w:t xml:space="preserve"> @IEQROO_oficial</w:t>
        </w:r>
        <w:r w:rsidRPr="00FA7FB0">
          <w:rPr>
            <w:rFonts w:cstheme="minorHAnsi"/>
            <w:sz w:val="18"/>
            <w:szCs w:val="20"/>
            <w:lang w:val="en-US"/>
          </w:rPr>
          <w:t xml:space="preserve">   /   Twitter </w:t>
        </w:r>
        <w:r w:rsidRPr="00FA7FB0">
          <w:rPr>
            <w:rFonts w:cstheme="minorHAnsi"/>
            <w:b/>
            <w:sz w:val="18"/>
            <w:szCs w:val="20"/>
            <w:lang w:val="en-US"/>
          </w:rPr>
          <w:t>@IEQROO_oficial</w:t>
        </w:r>
      </w:p>
    </w:sdtContent>
  </w:sdt>
  <w:p w14:paraId="133F60C5" w14:textId="77777777" w:rsidR="00543AED" w:rsidRPr="00071BD3" w:rsidRDefault="00543AED">
    <w:pPr>
      <w:pStyle w:val="Piedepgina"/>
      <w:rPr>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F30815" w14:textId="77777777" w:rsidR="00346F14" w:rsidRDefault="00346F14" w:rsidP="00E170DB">
      <w:pPr>
        <w:spacing w:after="0" w:line="240" w:lineRule="auto"/>
      </w:pPr>
      <w:r>
        <w:separator/>
      </w:r>
    </w:p>
  </w:footnote>
  <w:footnote w:type="continuationSeparator" w:id="0">
    <w:p w14:paraId="48235F10" w14:textId="77777777" w:rsidR="00346F14" w:rsidRDefault="00346F14" w:rsidP="00E17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75546" w14:textId="77777777" w:rsidR="00543AED" w:rsidRDefault="00346F14">
    <w:pPr>
      <w:pStyle w:val="Encabezado"/>
    </w:pPr>
    <w:r>
      <w:rPr>
        <w:noProof/>
        <w:lang w:eastAsia="es-MX"/>
      </w:rPr>
      <w:pict w14:anchorId="0330A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577563" o:spid="_x0000_s2051" type="#_x0000_t75" alt="" style="position:absolute;margin-left:0;margin-top:0;width:512.5pt;height:358.8pt;z-index:-251658240;mso-wrap-edited:f;mso-width-percent:0;mso-height-percent:0;mso-position-horizontal:center;mso-position-horizontal-relative:margin;mso-position-vertical:center;mso-position-vertical-relative:margin;mso-width-percent:0;mso-height-percent:0" o:allowincell="f">
          <v:imagedata r:id="rId1" o:title="NUEVO LOGO MONOS TRAZO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CE63F" w14:textId="6B8ECD91" w:rsidR="00543AED" w:rsidRPr="002866DB" w:rsidRDefault="00543AED" w:rsidP="00F02789">
    <w:pPr>
      <w:pStyle w:val="Encabezado"/>
      <w:rPr>
        <w:sz w:val="18"/>
        <w:szCs w:val="18"/>
      </w:rPr>
    </w:pPr>
    <w:r>
      <w:rPr>
        <w:noProof/>
        <w:lang w:eastAsia="es-MX"/>
      </w:rPr>
      <w:drawing>
        <wp:anchor distT="0" distB="0" distL="114300" distR="114300" simplePos="0" relativeHeight="251661312" behindDoc="0" locked="0" layoutInCell="1" allowOverlap="1" wp14:anchorId="126F91B3" wp14:editId="207F767A">
          <wp:simplePos x="0" y="0"/>
          <wp:positionH relativeFrom="margin">
            <wp:align>right</wp:align>
          </wp:positionH>
          <wp:positionV relativeFrom="paragraph">
            <wp:posOffset>14191</wp:posOffset>
          </wp:positionV>
          <wp:extent cx="1636395" cy="631825"/>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t="24567" b="23940"/>
                  <a:stretch>
                    <a:fillRect/>
                  </a:stretch>
                </pic:blipFill>
                <pic:spPr bwMode="auto">
                  <a:xfrm>
                    <a:off x="0" y="0"/>
                    <a:ext cx="163639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14">
      <w:rPr>
        <w:noProof/>
        <w:lang w:eastAsia="es-MX"/>
      </w:rPr>
      <w:pict w14:anchorId="6BC13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577564" o:spid="_x0000_s2050" type="#_x0000_t75" alt="" style="position:absolute;margin-left:0;margin-top:0;width:512.5pt;height:358.8pt;z-index:-251657216;mso-wrap-edited:f;mso-width-percent:0;mso-height-percent:0;mso-position-horizontal:center;mso-position-horizontal-relative:margin;mso-position-vertical:center;mso-position-vertical-relative:margin;mso-width-percent:0;mso-height-percent:0" o:allowincell="f">
          <v:imagedata r:id="rId2" o:title="NUEVO LOGO MONOS TRAZOS" gain="19661f" blacklevel="22938f"/>
          <w10:wrap anchorx="margin" anchory="margin"/>
        </v:shape>
      </w:pict>
    </w:r>
    <w:r w:rsidRPr="00594BF1">
      <w:rPr>
        <w:noProof/>
        <w:lang w:eastAsia="es-MX"/>
      </w:rPr>
      <w:drawing>
        <wp:anchor distT="0" distB="0" distL="114300" distR="114300" simplePos="0" relativeHeight="251655168" behindDoc="1" locked="0" layoutInCell="1" allowOverlap="1" wp14:anchorId="6EEC7FA8" wp14:editId="01EA3244">
          <wp:simplePos x="0" y="0"/>
          <wp:positionH relativeFrom="margin">
            <wp:posOffset>0</wp:posOffset>
          </wp:positionH>
          <wp:positionV relativeFrom="paragraph">
            <wp:posOffset>757291</wp:posOffset>
          </wp:positionV>
          <wp:extent cx="6511925" cy="2667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1925" cy="26670"/>
                  </a:xfrm>
                  <a:prstGeom prst="rect">
                    <a:avLst/>
                  </a:prstGeom>
                  <a:noFill/>
                  <a:ln>
                    <a:noFill/>
                  </a:ln>
                </pic:spPr>
              </pic:pic>
            </a:graphicData>
          </a:graphic>
        </wp:anchor>
      </w:drawing>
    </w:r>
    <w:r w:rsidRPr="002866DB">
      <w:rPr>
        <w:noProof/>
        <w:sz w:val="18"/>
        <w:szCs w:val="18"/>
        <w:lang w:eastAsia="es-MX"/>
      </w:rPr>
      <w:drawing>
        <wp:inline distT="0" distB="0" distL="0" distR="0" wp14:anchorId="10971347" wp14:editId="0ECB4398">
          <wp:extent cx="1800000" cy="627918"/>
          <wp:effectExtent l="0" t="0" r="0" b="127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000" cy="627918"/>
                  </a:xfrm>
                  <a:prstGeom prst="rect">
                    <a:avLst/>
                  </a:prstGeom>
                  <a:noFill/>
                  <a:ln>
                    <a:noFill/>
                  </a:ln>
                </pic:spPr>
              </pic:pic>
            </a:graphicData>
          </a:graphic>
        </wp:inline>
      </w:drawing>
    </w:r>
    <w:r>
      <w:rPr>
        <w:sz w:val="18"/>
        <w:szCs w:val="18"/>
      </w:rPr>
      <w:tab/>
    </w:r>
    <w:r>
      <w:rPr>
        <w:sz w:val="18"/>
        <w:szCs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E348F" w14:textId="77777777" w:rsidR="00543AED" w:rsidRDefault="00346F14">
    <w:pPr>
      <w:pStyle w:val="Encabezado"/>
    </w:pPr>
    <w:r>
      <w:rPr>
        <w:noProof/>
        <w:lang w:eastAsia="es-MX"/>
      </w:rPr>
      <w:pict w14:anchorId="20459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3577562" o:spid="_x0000_s2049" type="#_x0000_t75" alt="" style="position:absolute;margin-left:0;margin-top:0;width:512.5pt;height:358.8pt;z-index:-251656192;mso-wrap-edited:f;mso-width-percent:0;mso-height-percent:0;mso-position-horizontal:center;mso-position-horizontal-relative:margin;mso-position-vertical:center;mso-position-vertical-relative:margin;mso-width-percent:0;mso-height-percent:0" o:allowincell="f">
          <v:imagedata r:id="rId1" o:title="NUEVO LOGO MONOS TRAZO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02C9A"/>
    <w:multiLevelType w:val="hybridMultilevel"/>
    <w:tmpl w:val="37BCAD3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56A5D96"/>
    <w:multiLevelType w:val="hybridMultilevel"/>
    <w:tmpl w:val="06C890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31D83"/>
    <w:multiLevelType w:val="hybridMultilevel"/>
    <w:tmpl w:val="15083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7F44CD"/>
    <w:multiLevelType w:val="hybridMultilevel"/>
    <w:tmpl w:val="00FC197A"/>
    <w:lvl w:ilvl="0" w:tplc="D7EC2AE2">
      <w:start w:val="1"/>
      <w:numFmt w:val="decimal"/>
      <w:lvlText w:val="%1."/>
      <w:lvlJc w:val="left"/>
      <w:pPr>
        <w:ind w:left="5322" w:hanging="360"/>
      </w:pPr>
      <w:rPr>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B7315F"/>
    <w:multiLevelType w:val="hybridMultilevel"/>
    <w:tmpl w:val="10A874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334738"/>
    <w:multiLevelType w:val="hybridMultilevel"/>
    <w:tmpl w:val="E0D280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9C50F0"/>
    <w:multiLevelType w:val="hybridMultilevel"/>
    <w:tmpl w:val="3D4A8F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662B0"/>
    <w:multiLevelType w:val="multilevel"/>
    <w:tmpl w:val="8B747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030992"/>
    <w:multiLevelType w:val="hybridMultilevel"/>
    <w:tmpl w:val="CD06EA22"/>
    <w:lvl w:ilvl="0" w:tplc="B47EFE7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FB4C88"/>
    <w:multiLevelType w:val="hybridMultilevel"/>
    <w:tmpl w:val="664CF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5B2DB3"/>
    <w:multiLevelType w:val="hybridMultilevel"/>
    <w:tmpl w:val="908A6280"/>
    <w:lvl w:ilvl="0" w:tplc="A288DBC4">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206E63BD"/>
    <w:multiLevelType w:val="hybridMultilevel"/>
    <w:tmpl w:val="227415D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3143A0"/>
    <w:multiLevelType w:val="hybridMultilevel"/>
    <w:tmpl w:val="70944CBA"/>
    <w:lvl w:ilvl="0" w:tplc="D4AEAF9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507502"/>
    <w:multiLevelType w:val="hybridMultilevel"/>
    <w:tmpl w:val="3BE08D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8703AD"/>
    <w:multiLevelType w:val="hybridMultilevel"/>
    <w:tmpl w:val="8E5020C2"/>
    <w:lvl w:ilvl="0" w:tplc="F70041F4">
      <w:start w:val="1"/>
      <w:numFmt w:val="decimal"/>
      <w:lvlText w:val="%1."/>
      <w:lvlJc w:val="left"/>
      <w:pPr>
        <w:ind w:left="5180" w:hanging="360"/>
      </w:pPr>
      <w:rPr>
        <w:rFonts w:asciiTheme="minorHAnsi" w:hAnsiTheme="minorHAnsi"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5A2268"/>
    <w:multiLevelType w:val="hybridMultilevel"/>
    <w:tmpl w:val="566830A0"/>
    <w:lvl w:ilvl="0" w:tplc="D0221DB2">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04F6ACC"/>
    <w:multiLevelType w:val="hybridMultilevel"/>
    <w:tmpl w:val="D776725A"/>
    <w:lvl w:ilvl="0" w:tplc="6E041166">
      <w:start w:val="1"/>
      <w:numFmt w:val="decimal"/>
      <w:lvlText w:val="%1."/>
      <w:lvlJc w:val="left"/>
      <w:pPr>
        <w:ind w:left="720" w:hanging="360"/>
      </w:pPr>
      <w:rPr>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461BA0"/>
    <w:multiLevelType w:val="hybridMultilevel"/>
    <w:tmpl w:val="1FBAA928"/>
    <w:lvl w:ilvl="0" w:tplc="080A000F">
      <w:start w:val="1"/>
      <w:numFmt w:val="decimal"/>
      <w:lvlText w:val="%1."/>
      <w:lvlJc w:val="lef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8" w15:restartNumberingAfterBreak="0">
    <w:nsid w:val="4CD6732A"/>
    <w:multiLevelType w:val="hybridMultilevel"/>
    <w:tmpl w:val="A01A7E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F524AF8"/>
    <w:multiLevelType w:val="hybridMultilevel"/>
    <w:tmpl w:val="B9E045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9D2CF4"/>
    <w:multiLevelType w:val="hybridMultilevel"/>
    <w:tmpl w:val="8826BC24"/>
    <w:lvl w:ilvl="0" w:tplc="CA06BCB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5D7731"/>
    <w:multiLevelType w:val="hybridMultilevel"/>
    <w:tmpl w:val="EF261346"/>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2" w15:restartNumberingAfterBreak="0">
    <w:nsid w:val="5D4E43FD"/>
    <w:multiLevelType w:val="hybridMultilevel"/>
    <w:tmpl w:val="25EE84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E325EBE"/>
    <w:multiLevelType w:val="hybridMultilevel"/>
    <w:tmpl w:val="F43C65B0"/>
    <w:lvl w:ilvl="0" w:tplc="A288DBC4">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4" w15:restartNumberingAfterBreak="0">
    <w:nsid w:val="606F4D77"/>
    <w:multiLevelType w:val="hybridMultilevel"/>
    <w:tmpl w:val="34E48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431E5E"/>
    <w:multiLevelType w:val="hybridMultilevel"/>
    <w:tmpl w:val="6DE689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2331421"/>
    <w:multiLevelType w:val="hybridMultilevel"/>
    <w:tmpl w:val="D7182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46B2A61"/>
    <w:multiLevelType w:val="hybridMultilevel"/>
    <w:tmpl w:val="29C6D46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6A49452C"/>
    <w:multiLevelType w:val="hybridMultilevel"/>
    <w:tmpl w:val="F3022AD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7B4318C4"/>
    <w:multiLevelType w:val="hybridMultilevel"/>
    <w:tmpl w:val="227415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7D1B3B82"/>
    <w:multiLevelType w:val="hybridMultilevel"/>
    <w:tmpl w:val="56F45AE0"/>
    <w:lvl w:ilvl="0" w:tplc="080A0013">
      <w:start w:val="1"/>
      <w:numFmt w:val="upperRoman"/>
      <w:lvlText w:val="%1."/>
      <w:lvlJc w:val="righ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31" w15:restartNumberingAfterBreak="0">
    <w:nsid w:val="7E0303E3"/>
    <w:multiLevelType w:val="hybridMultilevel"/>
    <w:tmpl w:val="1098F1A0"/>
    <w:lvl w:ilvl="0" w:tplc="080A0015">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7068E0"/>
    <w:multiLevelType w:val="hybridMultilevel"/>
    <w:tmpl w:val="575613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5"/>
  </w:num>
  <w:num w:numId="4">
    <w:abstractNumId w:val="32"/>
  </w:num>
  <w:num w:numId="5">
    <w:abstractNumId w:val="13"/>
  </w:num>
  <w:num w:numId="6">
    <w:abstractNumId w:val="31"/>
  </w:num>
  <w:num w:numId="7">
    <w:abstractNumId w:val="7"/>
  </w:num>
  <w:num w:numId="8">
    <w:abstractNumId w:val="30"/>
  </w:num>
  <w:num w:numId="9">
    <w:abstractNumId w:val="17"/>
  </w:num>
  <w:num w:numId="10">
    <w:abstractNumId w:val="11"/>
  </w:num>
  <w:num w:numId="11">
    <w:abstractNumId w:val="4"/>
  </w:num>
  <w:num w:numId="12">
    <w:abstractNumId w:val="21"/>
  </w:num>
  <w:num w:numId="13">
    <w:abstractNumId w:val="6"/>
  </w:num>
  <w:num w:numId="14">
    <w:abstractNumId w:val="19"/>
  </w:num>
  <w:num w:numId="15">
    <w:abstractNumId w:val="29"/>
  </w:num>
  <w:num w:numId="16">
    <w:abstractNumId w:val="15"/>
  </w:num>
  <w:num w:numId="17">
    <w:abstractNumId w:val="28"/>
  </w:num>
  <w:num w:numId="18">
    <w:abstractNumId w:val="22"/>
  </w:num>
  <w:num w:numId="19">
    <w:abstractNumId w:val="16"/>
  </w:num>
  <w:num w:numId="20">
    <w:abstractNumId w:val="24"/>
  </w:num>
  <w:num w:numId="21">
    <w:abstractNumId w:val="3"/>
  </w:num>
  <w:num w:numId="22">
    <w:abstractNumId w:val="5"/>
  </w:num>
  <w:num w:numId="23">
    <w:abstractNumId w:val="12"/>
  </w:num>
  <w:num w:numId="24">
    <w:abstractNumId w:val="10"/>
  </w:num>
  <w:num w:numId="25">
    <w:abstractNumId w:val="9"/>
  </w:num>
  <w:num w:numId="26">
    <w:abstractNumId w:val="2"/>
  </w:num>
  <w:num w:numId="27">
    <w:abstractNumId w:val="23"/>
  </w:num>
  <w:num w:numId="28">
    <w:abstractNumId w:val="18"/>
  </w:num>
  <w:num w:numId="29">
    <w:abstractNumId w:val="26"/>
  </w:num>
  <w:num w:numId="30">
    <w:abstractNumId w:val="1"/>
  </w:num>
  <w:num w:numId="31">
    <w:abstractNumId w:val="27"/>
  </w:num>
  <w:num w:numId="32">
    <w:abstractNumId w:val="0"/>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DB"/>
    <w:rsid w:val="000077A0"/>
    <w:rsid w:val="00016B82"/>
    <w:rsid w:val="00017B94"/>
    <w:rsid w:val="0002222D"/>
    <w:rsid w:val="00025544"/>
    <w:rsid w:val="00033BD4"/>
    <w:rsid w:val="00033DAB"/>
    <w:rsid w:val="00041A04"/>
    <w:rsid w:val="00042F76"/>
    <w:rsid w:val="00044331"/>
    <w:rsid w:val="000549AC"/>
    <w:rsid w:val="00057E98"/>
    <w:rsid w:val="00061C16"/>
    <w:rsid w:val="00064310"/>
    <w:rsid w:val="00067BE9"/>
    <w:rsid w:val="00067D70"/>
    <w:rsid w:val="00067EE4"/>
    <w:rsid w:val="00071EE9"/>
    <w:rsid w:val="00074708"/>
    <w:rsid w:val="00081906"/>
    <w:rsid w:val="00081E3C"/>
    <w:rsid w:val="00082355"/>
    <w:rsid w:val="00095999"/>
    <w:rsid w:val="000A1EF1"/>
    <w:rsid w:val="000A5D6C"/>
    <w:rsid w:val="000B44CF"/>
    <w:rsid w:val="000C4938"/>
    <w:rsid w:val="000C5A09"/>
    <w:rsid w:val="000D35A6"/>
    <w:rsid w:val="000D593E"/>
    <w:rsid w:val="000E1E99"/>
    <w:rsid w:val="000E2222"/>
    <w:rsid w:val="000F2875"/>
    <w:rsid w:val="00110835"/>
    <w:rsid w:val="00110BEC"/>
    <w:rsid w:val="001110A8"/>
    <w:rsid w:val="001321EF"/>
    <w:rsid w:val="001354EE"/>
    <w:rsid w:val="00143FA7"/>
    <w:rsid w:val="0015138D"/>
    <w:rsid w:val="0015526B"/>
    <w:rsid w:val="00155DC0"/>
    <w:rsid w:val="00162262"/>
    <w:rsid w:val="00170431"/>
    <w:rsid w:val="0017691E"/>
    <w:rsid w:val="0018108E"/>
    <w:rsid w:val="0018347A"/>
    <w:rsid w:val="00185A11"/>
    <w:rsid w:val="00187384"/>
    <w:rsid w:val="001911E1"/>
    <w:rsid w:val="00195BDA"/>
    <w:rsid w:val="001A4837"/>
    <w:rsid w:val="001B34A0"/>
    <w:rsid w:val="001B37C7"/>
    <w:rsid w:val="001B6447"/>
    <w:rsid w:val="001C5FEE"/>
    <w:rsid w:val="001D7433"/>
    <w:rsid w:val="001E0D99"/>
    <w:rsid w:val="001F09AE"/>
    <w:rsid w:val="001F528A"/>
    <w:rsid w:val="001F54CD"/>
    <w:rsid w:val="001F79B8"/>
    <w:rsid w:val="00202F98"/>
    <w:rsid w:val="00203B27"/>
    <w:rsid w:val="00211E8E"/>
    <w:rsid w:val="002159F2"/>
    <w:rsid w:val="00215C7D"/>
    <w:rsid w:val="00216FB4"/>
    <w:rsid w:val="00224477"/>
    <w:rsid w:val="00235B95"/>
    <w:rsid w:val="00236C81"/>
    <w:rsid w:val="00236EEF"/>
    <w:rsid w:val="002424A9"/>
    <w:rsid w:val="00244E39"/>
    <w:rsid w:val="00255FEF"/>
    <w:rsid w:val="00256E78"/>
    <w:rsid w:val="0026222B"/>
    <w:rsid w:val="002670DC"/>
    <w:rsid w:val="00282CC1"/>
    <w:rsid w:val="00282E51"/>
    <w:rsid w:val="002832A3"/>
    <w:rsid w:val="00285A61"/>
    <w:rsid w:val="00285F8D"/>
    <w:rsid w:val="0029073E"/>
    <w:rsid w:val="0029544B"/>
    <w:rsid w:val="002A0119"/>
    <w:rsid w:val="002B1F63"/>
    <w:rsid w:val="002B35C7"/>
    <w:rsid w:val="002B61FC"/>
    <w:rsid w:val="002C6805"/>
    <w:rsid w:val="002D09D9"/>
    <w:rsid w:val="002D329C"/>
    <w:rsid w:val="002D381E"/>
    <w:rsid w:val="002E04F0"/>
    <w:rsid w:val="002E4A12"/>
    <w:rsid w:val="002E7668"/>
    <w:rsid w:val="002F3035"/>
    <w:rsid w:val="002F7A25"/>
    <w:rsid w:val="003044B7"/>
    <w:rsid w:val="00304FA5"/>
    <w:rsid w:val="00320510"/>
    <w:rsid w:val="0032191C"/>
    <w:rsid w:val="00324F07"/>
    <w:rsid w:val="003424CA"/>
    <w:rsid w:val="0034478E"/>
    <w:rsid w:val="00346F14"/>
    <w:rsid w:val="0034795E"/>
    <w:rsid w:val="00352B8F"/>
    <w:rsid w:val="00353BF6"/>
    <w:rsid w:val="0035497A"/>
    <w:rsid w:val="00354A9A"/>
    <w:rsid w:val="00356060"/>
    <w:rsid w:val="00357772"/>
    <w:rsid w:val="00365210"/>
    <w:rsid w:val="003739F5"/>
    <w:rsid w:val="003808EA"/>
    <w:rsid w:val="003810C3"/>
    <w:rsid w:val="00386ADB"/>
    <w:rsid w:val="00392748"/>
    <w:rsid w:val="003A23EE"/>
    <w:rsid w:val="003A2A15"/>
    <w:rsid w:val="003A44B3"/>
    <w:rsid w:val="003A4C39"/>
    <w:rsid w:val="003B09C4"/>
    <w:rsid w:val="003B2979"/>
    <w:rsid w:val="003D2452"/>
    <w:rsid w:val="003F0414"/>
    <w:rsid w:val="003F4955"/>
    <w:rsid w:val="003F5ED4"/>
    <w:rsid w:val="003F7C2C"/>
    <w:rsid w:val="00401DDC"/>
    <w:rsid w:val="00402CB8"/>
    <w:rsid w:val="004045D5"/>
    <w:rsid w:val="00405068"/>
    <w:rsid w:val="0040593E"/>
    <w:rsid w:val="004108EF"/>
    <w:rsid w:val="00411C4B"/>
    <w:rsid w:val="00420453"/>
    <w:rsid w:val="00421288"/>
    <w:rsid w:val="0042709B"/>
    <w:rsid w:val="00430E16"/>
    <w:rsid w:val="00434DC2"/>
    <w:rsid w:val="00436672"/>
    <w:rsid w:val="00441D1A"/>
    <w:rsid w:val="004422C6"/>
    <w:rsid w:val="00445194"/>
    <w:rsid w:val="00450BC6"/>
    <w:rsid w:val="00451336"/>
    <w:rsid w:val="00451A38"/>
    <w:rsid w:val="00453B01"/>
    <w:rsid w:val="00464867"/>
    <w:rsid w:val="004657D7"/>
    <w:rsid w:val="004662FA"/>
    <w:rsid w:val="004703C3"/>
    <w:rsid w:val="004706A5"/>
    <w:rsid w:val="004758FB"/>
    <w:rsid w:val="00481E95"/>
    <w:rsid w:val="004926C4"/>
    <w:rsid w:val="004A2FA6"/>
    <w:rsid w:val="004B0472"/>
    <w:rsid w:val="004B2686"/>
    <w:rsid w:val="004B40AE"/>
    <w:rsid w:val="004B500D"/>
    <w:rsid w:val="004C0FDA"/>
    <w:rsid w:val="004C4A86"/>
    <w:rsid w:val="004D1C59"/>
    <w:rsid w:val="004D246B"/>
    <w:rsid w:val="004D2A8A"/>
    <w:rsid w:val="004D2F2B"/>
    <w:rsid w:val="004D3667"/>
    <w:rsid w:val="004F6953"/>
    <w:rsid w:val="004F70AA"/>
    <w:rsid w:val="00500604"/>
    <w:rsid w:val="00501523"/>
    <w:rsid w:val="00502F82"/>
    <w:rsid w:val="00504F4C"/>
    <w:rsid w:val="005060CE"/>
    <w:rsid w:val="005106E9"/>
    <w:rsid w:val="0051089B"/>
    <w:rsid w:val="00521D3D"/>
    <w:rsid w:val="005234C7"/>
    <w:rsid w:val="00532F6D"/>
    <w:rsid w:val="00534175"/>
    <w:rsid w:val="0054079E"/>
    <w:rsid w:val="00543AED"/>
    <w:rsid w:val="00544B65"/>
    <w:rsid w:val="0054639F"/>
    <w:rsid w:val="00553B95"/>
    <w:rsid w:val="00564FD4"/>
    <w:rsid w:val="00565041"/>
    <w:rsid w:val="00567FB9"/>
    <w:rsid w:val="00583770"/>
    <w:rsid w:val="00596C3B"/>
    <w:rsid w:val="005A057C"/>
    <w:rsid w:val="005A1364"/>
    <w:rsid w:val="005A32F5"/>
    <w:rsid w:val="005A39EB"/>
    <w:rsid w:val="005A501C"/>
    <w:rsid w:val="005B174D"/>
    <w:rsid w:val="005B1A77"/>
    <w:rsid w:val="005B2C81"/>
    <w:rsid w:val="005B7469"/>
    <w:rsid w:val="005C28FF"/>
    <w:rsid w:val="005D3746"/>
    <w:rsid w:val="005D38F2"/>
    <w:rsid w:val="005D462A"/>
    <w:rsid w:val="005D5E56"/>
    <w:rsid w:val="005D7F1B"/>
    <w:rsid w:val="005E31C6"/>
    <w:rsid w:val="005E5456"/>
    <w:rsid w:val="005F41E0"/>
    <w:rsid w:val="00600489"/>
    <w:rsid w:val="00606A14"/>
    <w:rsid w:val="0061246A"/>
    <w:rsid w:val="006263DC"/>
    <w:rsid w:val="0063279D"/>
    <w:rsid w:val="00642914"/>
    <w:rsid w:val="00650DAA"/>
    <w:rsid w:val="00652B5B"/>
    <w:rsid w:val="0065423A"/>
    <w:rsid w:val="006627AA"/>
    <w:rsid w:val="00667AE8"/>
    <w:rsid w:val="00667AF7"/>
    <w:rsid w:val="00672620"/>
    <w:rsid w:val="006731E9"/>
    <w:rsid w:val="00674DD2"/>
    <w:rsid w:val="00680A42"/>
    <w:rsid w:val="00690D8A"/>
    <w:rsid w:val="006963C3"/>
    <w:rsid w:val="006A4C0A"/>
    <w:rsid w:val="006A4F99"/>
    <w:rsid w:val="006A507F"/>
    <w:rsid w:val="006A6D83"/>
    <w:rsid w:val="006A6F31"/>
    <w:rsid w:val="006A745B"/>
    <w:rsid w:val="006B0432"/>
    <w:rsid w:val="006B09F9"/>
    <w:rsid w:val="006B5889"/>
    <w:rsid w:val="006C330B"/>
    <w:rsid w:val="006D7D21"/>
    <w:rsid w:val="006F282A"/>
    <w:rsid w:val="006F54BE"/>
    <w:rsid w:val="00700389"/>
    <w:rsid w:val="0070117A"/>
    <w:rsid w:val="007016E1"/>
    <w:rsid w:val="00704C4D"/>
    <w:rsid w:val="00704EFA"/>
    <w:rsid w:val="00707A03"/>
    <w:rsid w:val="00711499"/>
    <w:rsid w:val="00713CE9"/>
    <w:rsid w:val="00721127"/>
    <w:rsid w:val="007224E2"/>
    <w:rsid w:val="00726EDF"/>
    <w:rsid w:val="007275B7"/>
    <w:rsid w:val="00727BA1"/>
    <w:rsid w:val="00733764"/>
    <w:rsid w:val="00733B44"/>
    <w:rsid w:val="0073582A"/>
    <w:rsid w:val="007365DC"/>
    <w:rsid w:val="00737949"/>
    <w:rsid w:val="00741726"/>
    <w:rsid w:val="00744BDD"/>
    <w:rsid w:val="007450F9"/>
    <w:rsid w:val="0074629B"/>
    <w:rsid w:val="007521DC"/>
    <w:rsid w:val="007546FB"/>
    <w:rsid w:val="00755FE5"/>
    <w:rsid w:val="00757BCB"/>
    <w:rsid w:val="007606B0"/>
    <w:rsid w:val="00761167"/>
    <w:rsid w:val="00773DF2"/>
    <w:rsid w:val="0078353F"/>
    <w:rsid w:val="0078391A"/>
    <w:rsid w:val="00786DEC"/>
    <w:rsid w:val="007933DB"/>
    <w:rsid w:val="0079497E"/>
    <w:rsid w:val="007A3438"/>
    <w:rsid w:val="007A49A4"/>
    <w:rsid w:val="007A4E50"/>
    <w:rsid w:val="007A55BF"/>
    <w:rsid w:val="007B254F"/>
    <w:rsid w:val="007B2BEC"/>
    <w:rsid w:val="007B4EAF"/>
    <w:rsid w:val="007C02C8"/>
    <w:rsid w:val="007C73FE"/>
    <w:rsid w:val="007C7452"/>
    <w:rsid w:val="007D11F7"/>
    <w:rsid w:val="007D1BB2"/>
    <w:rsid w:val="007D1FC1"/>
    <w:rsid w:val="007D5B07"/>
    <w:rsid w:val="007D67E3"/>
    <w:rsid w:val="007E4EAA"/>
    <w:rsid w:val="007F1C4F"/>
    <w:rsid w:val="00807FF5"/>
    <w:rsid w:val="00810A3D"/>
    <w:rsid w:val="008213EE"/>
    <w:rsid w:val="008271CC"/>
    <w:rsid w:val="0083619B"/>
    <w:rsid w:val="008368F0"/>
    <w:rsid w:val="008411D1"/>
    <w:rsid w:val="008428AC"/>
    <w:rsid w:val="00851D4B"/>
    <w:rsid w:val="00853DB5"/>
    <w:rsid w:val="00866AB0"/>
    <w:rsid w:val="00867F72"/>
    <w:rsid w:val="00873D96"/>
    <w:rsid w:val="00876987"/>
    <w:rsid w:val="008811F2"/>
    <w:rsid w:val="00881E39"/>
    <w:rsid w:val="00883554"/>
    <w:rsid w:val="00886C02"/>
    <w:rsid w:val="00891445"/>
    <w:rsid w:val="008963E3"/>
    <w:rsid w:val="008B2270"/>
    <w:rsid w:val="008B33BB"/>
    <w:rsid w:val="008C744C"/>
    <w:rsid w:val="008D0989"/>
    <w:rsid w:val="008D45FC"/>
    <w:rsid w:val="008D780F"/>
    <w:rsid w:val="008E14CD"/>
    <w:rsid w:val="008E385D"/>
    <w:rsid w:val="008E5C63"/>
    <w:rsid w:val="008E7308"/>
    <w:rsid w:val="008F0005"/>
    <w:rsid w:val="009023F3"/>
    <w:rsid w:val="0090778A"/>
    <w:rsid w:val="00910853"/>
    <w:rsid w:val="00910E32"/>
    <w:rsid w:val="00911524"/>
    <w:rsid w:val="0091177A"/>
    <w:rsid w:val="00917FB8"/>
    <w:rsid w:val="009201E3"/>
    <w:rsid w:val="009212C7"/>
    <w:rsid w:val="00921B8E"/>
    <w:rsid w:val="009223A9"/>
    <w:rsid w:val="00924A1D"/>
    <w:rsid w:val="00930AA5"/>
    <w:rsid w:val="009337D9"/>
    <w:rsid w:val="009366C5"/>
    <w:rsid w:val="00943531"/>
    <w:rsid w:val="0094396C"/>
    <w:rsid w:val="00954A7C"/>
    <w:rsid w:val="009608F9"/>
    <w:rsid w:val="00961AC4"/>
    <w:rsid w:val="009627BF"/>
    <w:rsid w:val="00962900"/>
    <w:rsid w:val="00964CE1"/>
    <w:rsid w:val="00972DAC"/>
    <w:rsid w:val="009754D6"/>
    <w:rsid w:val="00976BF5"/>
    <w:rsid w:val="009779E3"/>
    <w:rsid w:val="00977A1E"/>
    <w:rsid w:val="00991B2C"/>
    <w:rsid w:val="009A09A2"/>
    <w:rsid w:val="009A2924"/>
    <w:rsid w:val="009A7CF6"/>
    <w:rsid w:val="009B3255"/>
    <w:rsid w:val="009B3592"/>
    <w:rsid w:val="009B4AC5"/>
    <w:rsid w:val="009B5695"/>
    <w:rsid w:val="009D46BD"/>
    <w:rsid w:val="009D4A39"/>
    <w:rsid w:val="009E04D5"/>
    <w:rsid w:val="009E0DED"/>
    <w:rsid w:val="009E12E5"/>
    <w:rsid w:val="009E1BC5"/>
    <w:rsid w:val="009E451B"/>
    <w:rsid w:val="009E76FF"/>
    <w:rsid w:val="009F5A8E"/>
    <w:rsid w:val="00A03FD7"/>
    <w:rsid w:val="00A0410D"/>
    <w:rsid w:val="00A05F79"/>
    <w:rsid w:val="00A07039"/>
    <w:rsid w:val="00A14A91"/>
    <w:rsid w:val="00A163B0"/>
    <w:rsid w:val="00A23038"/>
    <w:rsid w:val="00A273BD"/>
    <w:rsid w:val="00A326C6"/>
    <w:rsid w:val="00A33AE9"/>
    <w:rsid w:val="00A363A3"/>
    <w:rsid w:val="00A44075"/>
    <w:rsid w:val="00A53348"/>
    <w:rsid w:val="00A5351E"/>
    <w:rsid w:val="00A541FE"/>
    <w:rsid w:val="00A571BC"/>
    <w:rsid w:val="00A571E3"/>
    <w:rsid w:val="00A62871"/>
    <w:rsid w:val="00A64B55"/>
    <w:rsid w:val="00A81B62"/>
    <w:rsid w:val="00A96416"/>
    <w:rsid w:val="00AA03AC"/>
    <w:rsid w:val="00AA5DD9"/>
    <w:rsid w:val="00AB2864"/>
    <w:rsid w:val="00AD22AD"/>
    <w:rsid w:val="00AD719F"/>
    <w:rsid w:val="00AE2372"/>
    <w:rsid w:val="00AF35F7"/>
    <w:rsid w:val="00AF4554"/>
    <w:rsid w:val="00AF52A1"/>
    <w:rsid w:val="00AF6CD4"/>
    <w:rsid w:val="00B12ACD"/>
    <w:rsid w:val="00B1587B"/>
    <w:rsid w:val="00B16EDF"/>
    <w:rsid w:val="00B173B2"/>
    <w:rsid w:val="00B248B8"/>
    <w:rsid w:val="00B2524D"/>
    <w:rsid w:val="00B3309B"/>
    <w:rsid w:val="00B33671"/>
    <w:rsid w:val="00B353D0"/>
    <w:rsid w:val="00B36DFD"/>
    <w:rsid w:val="00B41031"/>
    <w:rsid w:val="00B41DCD"/>
    <w:rsid w:val="00B4229A"/>
    <w:rsid w:val="00B444B9"/>
    <w:rsid w:val="00B44F98"/>
    <w:rsid w:val="00B46382"/>
    <w:rsid w:val="00B465C2"/>
    <w:rsid w:val="00B47341"/>
    <w:rsid w:val="00B523EC"/>
    <w:rsid w:val="00B54856"/>
    <w:rsid w:val="00B5595F"/>
    <w:rsid w:val="00B56350"/>
    <w:rsid w:val="00B57B2B"/>
    <w:rsid w:val="00B64ACF"/>
    <w:rsid w:val="00B6676C"/>
    <w:rsid w:val="00B70E1C"/>
    <w:rsid w:val="00B7164F"/>
    <w:rsid w:val="00B71DA7"/>
    <w:rsid w:val="00B741B7"/>
    <w:rsid w:val="00B76CD0"/>
    <w:rsid w:val="00B96541"/>
    <w:rsid w:val="00B9723A"/>
    <w:rsid w:val="00BA3BA5"/>
    <w:rsid w:val="00BB0C1B"/>
    <w:rsid w:val="00BB2F58"/>
    <w:rsid w:val="00BC4652"/>
    <w:rsid w:val="00BC6DF1"/>
    <w:rsid w:val="00BC7BF3"/>
    <w:rsid w:val="00BD7A74"/>
    <w:rsid w:val="00BE0974"/>
    <w:rsid w:val="00BF513D"/>
    <w:rsid w:val="00BF65E4"/>
    <w:rsid w:val="00C023D7"/>
    <w:rsid w:val="00C03CA0"/>
    <w:rsid w:val="00C04B98"/>
    <w:rsid w:val="00C05C9C"/>
    <w:rsid w:val="00C06307"/>
    <w:rsid w:val="00C0723C"/>
    <w:rsid w:val="00C12379"/>
    <w:rsid w:val="00C16191"/>
    <w:rsid w:val="00C218A8"/>
    <w:rsid w:val="00C22012"/>
    <w:rsid w:val="00C22DB1"/>
    <w:rsid w:val="00C25A98"/>
    <w:rsid w:val="00C30C3D"/>
    <w:rsid w:val="00C315C7"/>
    <w:rsid w:val="00C3399C"/>
    <w:rsid w:val="00C35A4D"/>
    <w:rsid w:val="00C35EF4"/>
    <w:rsid w:val="00C4590E"/>
    <w:rsid w:val="00C47B33"/>
    <w:rsid w:val="00C47ED3"/>
    <w:rsid w:val="00C516E8"/>
    <w:rsid w:val="00C55546"/>
    <w:rsid w:val="00C65BE2"/>
    <w:rsid w:val="00C661BC"/>
    <w:rsid w:val="00C67A14"/>
    <w:rsid w:val="00C73443"/>
    <w:rsid w:val="00C76401"/>
    <w:rsid w:val="00C81CD1"/>
    <w:rsid w:val="00C927A7"/>
    <w:rsid w:val="00C95655"/>
    <w:rsid w:val="00CA056E"/>
    <w:rsid w:val="00CA5B8B"/>
    <w:rsid w:val="00CB17FA"/>
    <w:rsid w:val="00CB2A4A"/>
    <w:rsid w:val="00CB6D53"/>
    <w:rsid w:val="00CC3B97"/>
    <w:rsid w:val="00CC53A1"/>
    <w:rsid w:val="00CD111E"/>
    <w:rsid w:val="00CD28AE"/>
    <w:rsid w:val="00CE0121"/>
    <w:rsid w:val="00CF3C30"/>
    <w:rsid w:val="00CF405A"/>
    <w:rsid w:val="00D003BF"/>
    <w:rsid w:val="00D00E23"/>
    <w:rsid w:val="00D01434"/>
    <w:rsid w:val="00D0305E"/>
    <w:rsid w:val="00D1117B"/>
    <w:rsid w:val="00D12B86"/>
    <w:rsid w:val="00D21C57"/>
    <w:rsid w:val="00D2373F"/>
    <w:rsid w:val="00D31B3F"/>
    <w:rsid w:val="00D356C9"/>
    <w:rsid w:val="00D50AF5"/>
    <w:rsid w:val="00D51B27"/>
    <w:rsid w:val="00D5425F"/>
    <w:rsid w:val="00D55D84"/>
    <w:rsid w:val="00D60FE0"/>
    <w:rsid w:val="00D61D10"/>
    <w:rsid w:val="00D623FE"/>
    <w:rsid w:val="00D63E11"/>
    <w:rsid w:val="00D6735D"/>
    <w:rsid w:val="00D81347"/>
    <w:rsid w:val="00D81901"/>
    <w:rsid w:val="00D902E9"/>
    <w:rsid w:val="00D9141A"/>
    <w:rsid w:val="00D9194E"/>
    <w:rsid w:val="00D94A64"/>
    <w:rsid w:val="00DB04C6"/>
    <w:rsid w:val="00DB1E73"/>
    <w:rsid w:val="00DC3189"/>
    <w:rsid w:val="00DC4478"/>
    <w:rsid w:val="00DC77D4"/>
    <w:rsid w:val="00DD097C"/>
    <w:rsid w:val="00DD3ABC"/>
    <w:rsid w:val="00DD54B9"/>
    <w:rsid w:val="00DE1311"/>
    <w:rsid w:val="00DE190A"/>
    <w:rsid w:val="00DE2313"/>
    <w:rsid w:val="00DE68DB"/>
    <w:rsid w:val="00DF0CE5"/>
    <w:rsid w:val="00DF1CD4"/>
    <w:rsid w:val="00DF3A5C"/>
    <w:rsid w:val="00DF41F5"/>
    <w:rsid w:val="00E01A32"/>
    <w:rsid w:val="00E01BA9"/>
    <w:rsid w:val="00E028D2"/>
    <w:rsid w:val="00E028FD"/>
    <w:rsid w:val="00E10F98"/>
    <w:rsid w:val="00E13F85"/>
    <w:rsid w:val="00E16111"/>
    <w:rsid w:val="00E16187"/>
    <w:rsid w:val="00E170DB"/>
    <w:rsid w:val="00E210FD"/>
    <w:rsid w:val="00E26CE8"/>
    <w:rsid w:val="00E3180A"/>
    <w:rsid w:val="00E3392C"/>
    <w:rsid w:val="00E34BFA"/>
    <w:rsid w:val="00E34DEE"/>
    <w:rsid w:val="00E368C5"/>
    <w:rsid w:val="00E451EE"/>
    <w:rsid w:val="00E46C79"/>
    <w:rsid w:val="00E50A0F"/>
    <w:rsid w:val="00E54A4D"/>
    <w:rsid w:val="00E557FF"/>
    <w:rsid w:val="00E55D0C"/>
    <w:rsid w:val="00E60316"/>
    <w:rsid w:val="00E650A3"/>
    <w:rsid w:val="00E666E7"/>
    <w:rsid w:val="00E750D5"/>
    <w:rsid w:val="00E76148"/>
    <w:rsid w:val="00E761DB"/>
    <w:rsid w:val="00E8795B"/>
    <w:rsid w:val="00EA2938"/>
    <w:rsid w:val="00EA4CA3"/>
    <w:rsid w:val="00EB3762"/>
    <w:rsid w:val="00EB4B02"/>
    <w:rsid w:val="00EB59FB"/>
    <w:rsid w:val="00EC21CE"/>
    <w:rsid w:val="00ED23B8"/>
    <w:rsid w:val="00ED58A9"/>
    <w:rsid w:val="00EE38E3"/>
    <w:rsid w:val="00EE6C91"/>
    <w:rsid w:val="00EF31D2"/>
    <w:rsid w:val="00EF714B"/>
    <w:rsid w:val="00EF7EF4"/>
    <w:rsid w:val="00F026C4"/>
    <w:rsid w:val="00F02789"/>
    <w:rsid w:val="00F04595"/>
    <w:rsid w:val="00F051F3"/>
    <w:rsid w:val="00F07503"/>
    <w:rsid w:val="00F13FC8"/>
    <w:rsid w:val="00F16FCC"/>
    <w:rsid w:val="00F2046E"/>
    <w:rsid w:val="00F21748"/>
    <w:rsid w:val="00F25A1A"/>
    <w:rsid w:val="00F27E63"/>
    <w:rsid w:val="00F27F8C"/>
    <w:rsid w:val="00F3309F"/>
    <w:rsid w:val="00F350CF"/>
    <w:rsid w:val="00F37E4D"/>
    <w:rsid w:val="00F4247A"/>
    <w:rsid w:val="00F502D0"/>
    <w:rsid w:val="00F51212"/>
    <w:rsid w:val="00F606C2"/>
    <w:rsid w:val="00F6083E"/>
    <w:rsid w:val="00F61FA7"/>
    <w:rsid w:val="00F65888"/>
    <w:rsid w:val="00F65BF0"/>
    <w:rsid w:val="00F663D3"/>
    <w:rsid w:val="00F75204"/>
    <w:rsid w:val="00F818F6"/>
    <w:rsid w:val="00F81FE1"/>
    <w:rsid w:val="00F8435C"/>
    <w:rsid w:val="00F85044"/>
    <w:rsid w:val="00F916D6"/>
    <w:rsid w:val="00F93C81"/>
    <w:rsid w:val="00F95257"/>
    <w:rsid w:val="00FA0248"/>
    <w:rsid w:val="00FA1564"/>
    <w:rsid w:val="00FA1972"/>
    <w:rsid w:val="00FA2072"/>
    <w:rsid w:val="00FA222C"/>
    <w:rsid w:val="00FA3A10"/>
    <w:rsid w:val="00FB546E"/>
    <w:rsid w:val="00FE70F1"/>
    <w:rsid w:val="00FF03B3"/>
    <w:rsid w:val="00FF2E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68FE0D"/>
  <w15:chartTrackingRefBased/>
  <w15:docId w15:val="{FB3ABE05-F7D2-432E-8DB5-E130498F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170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70DB"/>
  </w:style>
  <w:style w:type="paragraph" w:styleId="Piedepgina">
    <w:name w:val="footer"/>
    <w:basedOn w:val="Normal"/>
    <w:link w:val="PiedepginaCar"/>
    <w:unhideWhenUsed/>
    <w:rsid w:val="00E170DB"/>
    <w:pPr>
      <w:tabs>
        <w:tab w:val="center" w:pos="4419"/>
        <w:tab w:val="right" w:pos="8838"/>
      </w:tabs>
      <w:spacing w:after="0" w:line="240" w:lineRule="auto"/>
    </w:pPr>
  </w:style>
  <w:style w:type="character" w:customStyle="1" w:styleId="PiedepginaCar">
    <w:name w:val="Pie de página Car"/>
    <w:basedOn w:val="Fuentedeprrafopredeter"/>
    <w:link w:val="Piedepgina"/>
    <w:rsid w:val="00E170DB"/>
  </w:style>
  <w:style w:type="table" w:styleId="Tablaconcuadrcula">
    <w:name w:val="Table Grid"/>
    <w:basedOn w:val="Tablanormal"/>
    <w:uiPriority w:val="59"/>
    <w:rsid w:val="00E1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E170DB"/>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E170DB"/>
    <w:rPr>
      <w:rFonts w:ascii="Calibri" w:eastAsia="Calibri" w:hAnsi="Calibri" w:cs="Times New Roman"/>
      <w:sz w:val="20"/>
      <w:szCs w:val="20"/>
    </w:rPr>
  </w:style>
  <w:style w:type="character" w:styleId="Refdenotaalpie">
    <w:name w:val="footnote reference"/>
    <w:uiPriority w:val="99"/>
    <w:unhideWhenUsed/>
    <w:rsid w:val="00E170DB"/>
    <w:rPr>
      <w:vertAlign w:val="superscript"/>
    </w:rPr>
  </w:style>
  <w:style w:type="paragraph" w:styleId="Prrafodelista">
    <w:name w:val="List Paragraph"/>
    <w:aliases w:val="AB List 1,Bullet Points,Bullet List,FooterText,numbered,Paragraphe de liste1,List Paragraph1,Bulletr List Paragraph,CNBV Parrafo1,Parrafo 1,Bullet 1,Párrafo de lista1,List Paragraph-Thesis,Dot pt,List Paragraph Char Char Char"/>
    <w:basedOn w:val="Normal"/>
    <w:link w:val="PrrafodelistaCar"/>
    <w:uiPriority w:val="34"/>
    <w:qFormat/>
    <w:rsid w:val="00E170DB"/>
    <w:pPr>
      <w:ind w:left="720"/>
      <w:contextualSpacing/>
    </w:pPr>
  </w:style>
  <w:style w:type="paragraph" w:styleId="Textodeglobo">
    <w:name w:val="Balloon Text"/>
    <w:basedOn w:val="Normal"/>
    <w:link w:val="TextodegloboCar"/>
    <w:unhideWhenUsed/>
    <w:rsid w:val="003F495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4955"/>
    <w:rPr>
      <w:rFonts w:ascii="Segoe UI" w:hAnsi="Segoe UI" w:cs="Segoe UI"/>
      <w:sz w:val="18"/>
      <w:szCs w:val="18"/>
    </w:rPr>
  </w:style>
  <w:style w:type="character" w:styleId="Textoennegrita">
    <w:name w:val="Strong"/>
    <w:basedOn w:val="Fuentedeprrafopredeter"/>
    <w:uiPriority w:val="22"/>
    <w:qFormat/>
    <w:rsid w:val="00EA4CA3"/>
    <w:rPr>
      <w:b/>
      <w:bCs/>
    </w:rPr>
  </w:style>
  <w:style w:type="character" w:customStyle="1" w:styleId="PrrafodelistaCar">
    <w:name w:val="Párrafo de lista Car"/>
    <w:aliases w:val="AB List 1 Car,Bullet Points Car,Bullet List Car,FooterText Car,numbered Car,Paragraphe de liste1 Car,List Paragraph1 Car,Bulletr List Paragraph Car,CNBV Parrafo1 Car,Parrafo 1 Car,Bullet 1 Car,Párrafo de lista1 Car,Dot pt Car"/>
    <w:link w:val="Prrafodelista"/>
    <w:uiPriority w:val="34"/>
    <w:qFormat/>
    <w:rsid w:val="00C516E8"/>
  </w:style>
  <w:style w:type="paragraph" w:customStyle="1" w:styleId="ecxmsonormal">
    <w:name w:val="ecxmsonormal"/>
    <w:basedOn w:val="Normal"/>
    <w:rsid w:val="00C5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aliases w:val="Normal (Web) Car1,Normal (Web) Car Car,Normal (Web) Car1 Car Car Car,Normal (Web) Car1 Car,Normal (Web) Car Car Car Car,Normal (Web) Car Car Car,Normal (Web) Car1 Car Car,Normal (Web) Car Car Car Car Car Car Car Car Car Car Car,Car Car Ca,C"/>
    <w:basedOn w:val="Normal"/>
    <w:uiPriority w:val="99"/>
    <w:unhideWhenUsed/>
    <w:qFormat/>
    <w:rsid w:val="00C516E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1110A8"/>
    <w:rPr>
      <w:color w:val="0563C1" w:themeColor="hyperlink"/>
      <w:u w:val="single"/>
    </w:rPr>
  </w:style>
  <w:style w:type="paragraph" w:styleId="Textoindependiente">
    <w:name w:val="Body Text"/>
    <w:basedOn w:val="Normal"/>
    <w:link w:val="TextoindependienteCar"/>
    <w:rsid w:val="007D1BB2"/>
    <w:pPr>
      <w:spacing w:after="0" w:line="360" w:lineRule="auto"/>
      <w:jc w:val="both"/>
    </w:pPr>
    <w:rPr>
      <w:rFonts w:ascii="Arial" w:eastAsia="Times New Roman" w:hAnsi="Arial" w:cs="Arial"/>
      <w:sz w:val="24"/>
      <w:szCs w:val="24"/>
      <w:lang w:val="es-ES" w:eastAsia="es-ES"/>
    </w:rPr>
  </w:style>
  <w:style w:type="character" w:customStyle="1" w:styleId="TextoindependienteCar">
    <w:name w:val="Texto independiente Car"/>
    <w:basedOn w:val="Fuentedeprrafopredeter"/>
    <w:link w:val="Textoindependiente"/>
    <w:rsid w:val="007D1BB2"/>
    <w:rPr>
      <w:rFonts w:ascii="Arial" w:eastAsia="Times New Roman" w:hAnsi="Arial" w:cs="Arial"/>
      <w:sz w:val="24"/>
      <w:szCs w:val="24"/>
      <w:lang w:val="es-ES" w:eastAsia="es-ES"/>
    </w:rPr>
  </w:style>
  <w:style w:type="paragraph" w:customStyle="1" w:styleId="Cuerpo">
    <w:name w:val="Cuerpo"/>
    <w:rsid w:val="00761167"/>
    <w:pPr>
      <w:pBdr>
        <w:top w:val="nil"/>
        <w:left w:val="nil"/>
        <w:bottom w:val="nil"/>
        <w:right w:val="nil"/>
        <w:between w:val="nil"/>
        <w:bar w:val="nil"/>
      </w:pBdr>
    </w:pPr>
    <w:rPr>
      <w:rFonts w:ascii="Calibri" w:eastAsia="Calibri" w:hAnsi="Calibri" w:cs="Calibri"/>
      <w:color w:val="000000"/>
      <w:u w:color="000000"/>
      <w:bdr w:val="nil"/>
      <w:lang w:eastAsia="es-MX"/>
    </w:rPr>
  </w:style>
  <w:style w:type="paragraph" w:customStyle="1" w:styleId="Default">
    <w:name w:val="Default"/>
    <w:rsid w:val="002E04F0"/>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Listavistosa-nfasis1Car">
    <w:name w:val="Lista vistosa - Énfasis 1 Car"/>
    <w:link w:val="Listavistosa-nfasis1"/>
    <w:uiPriority w:val="34"/>
    <w:rsid w:val="006627AA"/>
  </w:style>
  <w:style w:type="table" w:styleId="Listavistosa-nfasis1">
    <w:name w:val="Colorful List Accent 1"/>
    <w:basedOn w:val="Tablanormal"/>
    <w:link w:val="Listavistosa-nfasis1Car"/>
    <w:uiPriority w:val="34"/>
    <w:semiHidden/>
    <w:unhideWhenUsed/>
    <w:rsid w:val="006627AA"/>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Listavistosa-nfasis11">
    <w:name w:val="Lista vistosa - Énfasis 11"/>
    <w:basedOn w:val="Normal"/>
    <w:uiPriority w:val="34"/>
    <w:qFormat/>
    <w:rsid w:val="00450BC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81276">
      <w:bodyDiv w:val="1"/>
      <w:marLeft w:val="0"/>
      <w:marRight w:val="0"/>
      <w:marTop w:val="0"/>
      <w:marBottom w:val="0"/>
      <w:divBdr>
        <w:top w:val="none" w:sz="0" w:space="0" w:color="auto"/>
        <w:left w:val="none" w:sz="0" w:space="0" w:color="auto"/>
        <w:bottom w:val="none" w:sz="0" w:space="0" w:color="auto"/>
        <w:right w:val="none" w:sz="0" w:space="0" w:color="auto"/>
      </w:divBdr>
    </w:div>
    <w:div w:id="138959610">
      <w:bodyDiv w:val="1"/>
      <w:marLeft w:val="0"/>
      <w:marRight w:val="0"/>
      <w:marTop w:val="0"/>
      <w:marBottom w:val="0"/>
      <w:divBdr>
        <w:top w:val="none" w:sz="0" w:space="0" w:color="auto"/>
        <w:left w:val="none" w:sz="0" w:space="0" w:color="auto"/>
        <w:bottom w:val="none" w:sz="0" w:space="0" w:color="auto"/>
        <w:right w:val="none" w:sz="0" w:space="0" w:color="auto"/>
      </w:divBdr>
    </w:div>
    <w:div w:id="362825997">
      <w:bodyDiv w:val="1"/>
      <w:marLeft w:val="0"/>
      <w:marRight w:val="0"/>
      <w:marTop w:val="0"/>
      <w:marBottom w:val="0"/>
      <w:divBdr>
        <w:top w:val="none" w:sz="0" w:space="0" w:color="auto"/>
        <w:left w:val="none" w:sz="0" w:space="0" w:color="auto"/>
        <w:bottom w:val="none" w:sz="0" w:space="0" w:color="auto"/>
        <w:right w:val="none" w:sz="0" w:space="0" w:color="auto"/>
      </w:divBdr>
    </w:div>
    <w:div w:id="459107503">
      <w:bodyDiv w:val="1"/>
      <w:marLeft w:val="0"/>
      <w:marRight w:val="0"/>
      <w:marTop w:val="0"/>
      <w:marBottom w:val="0"/>
      <w:divBdr>
        <w:top w:val="none" w:sz="0" w:space="0" w:color="auto"/>
        <w:left w:val="none" w:sz="0" w:space="0" w:color="auto"/>
        <w:bottom w:val="none" w:sz="0" w:space="0" w:color="auto"/>
        <w:right w:val="none" w:sz="0" w:space="0" w:color="auto"/>
      </w:divBdr>
    </w:div>
    <w:div w:id="490295467">
      <w:bodyDiv w:val="1"/>
      <w:marLeft w:val="0"/>
      <w:marRight w:val="0"/>
      <w:marTop w:val="0"/>
      <w:marBottom w:val="0"/>
      <w:divBdr>
        <w:top w:val="none" w:sz="0" w:space="0" w:color="auto"/>
        <w:left w:val="none" w:sz="0" w:space="0" w:color="auto"/>
        <w:bottom w:val="none" w:sz="0" w:space="0" w:color="auto"/>
        <w:right w:val="none" w:sz="0" w:space="0" w:color="auto"/>
      </w:divBdr>
    </w:div>
    <w:div w:id="525411092">
      <w:bodyDiv w:val="1"/>
      <w:marLeft w:val="0"/>
      <w:marRight w:val="0"/>
      <w:marTop w:val="0"/>
      <w:marBottom w:val="0"/>
      <w:divBdr>
        <w:top w:val="none" w:sz="0" w:space="0" w:color="auto"/>
        <w:left w:val="none" w:sz="0" w:space="0" w:color="auto"/>
        <w:bottom w:val="none" w:sz="0" w:space="0" w:color="auto"/>
        <w:right w:val="none" w:sz="0" w:space="0" w:color="auto"/>
      </w:divBdr>
    </w:div>
    <w:div w:id="622885389">
      <w:bodyDiv w:val="1"/>
      <w:marLeft w:val="0"/>
      <w:marRight w:val="0"/>
      <w:marTop w:val="0"/>
      <w:marBottom w:val="0"/>
      <w:divBdr>
        <w:top w:val="none" w:sz="0" w:space="0" w:color="auto"/>
        <w:left w:val="none" w:sz="0" w:space="0" w:color="auto"/>
        <w:bottom w:val="none" w:sz="0" w:space="0" w:color="auto"/>
        <w:right w:val="none" w:sz="0" w:space="0" w:color="auto"/>
      </w:divBdr>
    </w:div>
    <w:div w:id="650790572">
      <w:bodyDiv w:val="1"/>
      <w:marLeft w:val="0"/>
      <w:marRight w:val="0"/>
      <w:marTop w:val="0"/>
      <w:marBottom w:val="0"/>
      <w:divBdr>
        <w:top w:val="none" w:sz="0" w:space="0" w:color="auto"/>
        <w:left w:val="none" w:sz="0" w:space="0" w:color="auto"/>
        <w:bottom w:val="none" w:sz="0" w:space="0" w:color="auto"/>
        <w:right w:val="none" w:sz="0" w:space="0" w:color="auto"/>
      </w:divBdr>
    </w:div>
    <w:div w:id="693657646">
      <w:bodyDiv w:val="1"/>
      <w:marLeft w:val="0"/>
      <w:marRight w:val="0"/>
      <w:marTop w:val="0"/>
      <w:marBottom w:val="0"/>
      <w:divBdr>
        <w:top w:val="none" w:sz="0" w:space="0" w:color="auto"/>
        <w:left w:val="none" w:sz="0" w:space="0" w:color="auto"/>
        <w:bottom w:val="none" w:sz="0" w:space="0" w:color="auto"/>
        <w:right w:val="none" w:sz="0" w:space="0" w:color="auto"/>
      </w:divBdr>
    </w:div>
    <w:div w:id="911768389">
      <w:bodyDiv w:val="1"/>
      <w:marLeft w:val="0"/>
      <w:marRight w:val="0"/>
      <w:marTop w:val="0"/>
      <w:marBottom w:val="0"/>
      <w:divBdr>
        <w:top w:val="none" w:sz="0" w:space="0" w:color="auto"/>
        <w:left w:val="none" w:sz="0" w:space="0" w:color="auto"/>
        <w:bottom w:val="none" w:sz="0" w:space="0" w:color="auto"/>
        <w:right w:val="none" w:sz="0" w:space="0" w:color="auto"/>
      </w:divBdr>
    </w:div>
    <w:div w:id="951207516">
      <w:bodyDiv w:val="1"/>
      <w:marLeft w:val="0"/>
      <w:marRight w:val="0"/>
      <w:marTop w:val="0"/>
      <w:marBottom w:val="0"/>
      <w:divBdr>
        <w:top w:val="none" w:sz="0" w:space="0" w:color="auto"/>
        <w:left w:val="none" w:sz="0" w:space="0" w:color="auto"/>
        <w:bottom w:val="none" w:sz="0" w:space="0" w:color="auto"/>
        <w:right w:val="none" w:sz="0" w:space="0" w:color="auto"/>
      </w:divBdr>
    </w:div>
    <w:div w:id="962689152">
      <w:bodyDiv w:val="1"/>
      <w:marLeft w:val="0"/>
      <w:marRight w:val="0"/>
      <w:marTop w:val="0"/>
      <w:marBottom w:val="0"/>
      <w:divBdr>
        <w:top w:val="none" w:sz="0" w:space="0" w:color="auto"/>
        <w:left w:val="none" w:sz="0" w:space="0" w:color="auto"/>
        <w:bottom w:val="none" w:sz="0" w:space="0" w:color="auto"/>
        <w:right w:val="none" w:sz="0" w:space="0" w:color="auto"/>
      </w:divBdr>
    </w:div>
    <w:div w:id="1033311822">
      <w:bodyDiv w:val="1"/>
      <w:marLeft w:val="0"/>
      <w:marRight w:val="0"/>
      <w:marTop w:val="0"/>
      <w:marBottom w:val="0"/>
      <w:divBdr>
        <w:top w:val="none" w:sz="0" w:space="0" w:color="auto"/>
        <w:left w:val="none" w:sz="0" w:space="0" w:color="auto"/>
        <w:bottom w:val="none" w:sz="0" w:space="0" w:color="auto"/>
        <w:right w:val="none" w:sz="0" w:space="0" w:color="auto"/>
      </w:divBdr>
    </w:div>
    <w:div w:id="1094209773">
      <w:bodyDiv w:val="1"/>
      <w:marLeft w:val="0"/>
      <w:marRight w:val="0"/>
      <w:marTop w:val="0"/>
      <w:marBottom w:val="0"/>
      <w:divBdr>
        <w:top w:val="none" w:sz="0" w:space="0" w:color="auto"/>
        <w:left w:val="none" w:sz="0" w:space="0" w:color="auto"/>
        <w:bottom w:val="none" w:sz="0" w:space="0" w:color="auto"/>
        <w:right w:val="none" w:sz="0" w:space="0" w:color="auto"/>
      </w:divBdr>
    </w:div>
    <w:div w:id="1150943349">
      <w:bodyDiv w:val="1"/>
      <w:marLeft w:val="0"/>
      <w:marRight w:val="0"/>
      <w:marTop w:val="0"/>
      <w:marBottom w:val="0"/>
      <w:divBdr>
        <w:top w:val="none" w:sz="0" w:space="0" w:color="auto"/>
        <w:left w:val="none" w:sz="0" w:space="0" w:color="auto"/>
        <w:bottom w:val="none" w:sz="0" w:space="0" w:color="auto"/>
        <w:right w:val="none" w:sz="0" w:space="0" w:color="auto"/>
      </w:divBdr>
    </w:div>
    <w:div w:id="1274438430">
      <w:bodyDiv w:val="1"/>
      <w:marLeft w:val="0"/>
      <w:marRight w:val="0"/>
      <w:marTop w:val="0"/>
      <w:marBottom w:val="0"/>
      <w:divBdr>
        <w:top w:val="none" w:sz="0" w:space="0" w:color="auto"/>
        <w:left w:val="none" w:sz="0" w:space="0" w:color="auto"/>
        <w:bottom w:val="none" w:sz="0" w:space="0" w:color="auto"/>
        <w:right w:val="none" w:sz="0" w:space="0" w:color="auto"/>
      </w:divBdr>
    </w:div>
    <w:div w:id="1438136607">
      <w:bodyDiv w:val="1"/>
      <w:marLeft w:val="0"/>
      <w:marRight w:val="0"/>
      <w:marTop w:val="0"/>
      <w:marBottom w:val="0"/>
      <w:divBdr>
        <w:top w:val="none" w:sz="0" w:space="0" w:color="auto"/>
        <w:left w:val="none" w:sz="0" w:space="0" w:color="auto"/>
        <w:bottom w:val="none" w:sz="0" w:space="0" w:color="auto"/>
        <w:right w:val="none" w:sz="0" w:space="0" w:color="auto"/>
      </w:divBdr>
    </w:div>
    <w:div w:id="1517161069">
      <w:bodyDiv w:val="1"/>
      <w:marLeft w:val="0"/>
      <w:marRight w:val="0"/>
      <w:marTop w:val="0"/>
      <w:marBottom w:val="0"/>
      <w:divBdr>
        <w:top w:val="none" w:sz="0" w:space="0" w:color="auto"/>
        <w:left w:val="none" w:sz="0" w:space="0" w:color="auto"/>
        <w:bottom w:val="none" w:sz="0" w:space="0" w:color="auto"/>
        <w:right w:val="none" w:sz="0" w:space="0" w:color="auto"/>
      </w:divBdr>
    </w:div>
    <w:div w:id="1551769087">
      <w:bodyDiv w:val="1"/>
      <w:marLeft w:val="0"/>
      <w:marRight w:val="0"/>
      <w:marTop w:val="0"/>
      <w:marBottom w:val="0"/>
      <w:divBdr>
        <w:top w:val="none" w:sz="0" w:space="0" w:color="auto"/>
        <w:left w:val="none" w:sz="0" w:space="0" w:color="auto"/>
        <w:bottom w:val="none" w:sz="0" w:space="0" w:color="auto"/>
        <w:right w:val="none" w:sz="0" w:space="0" w:color="auto"/>
      </w:divBdr>
    </w:div>
    <w:div w:id="1573273773">
      <w:bodyDiv w:val="1"/>
      <w:marLeft w:val="0"/>
      <w:marRight w:val="0"/>
      <w:marTop w:val="0"/>
      <w:marBottom w:val="0"/>
      <w:divBdr>
        <w:top w:val="none" w:sz="0" w:space="0" w:color="auto"/>
        <w:left w:val="none" w:sz="0" w:space="0" w:color="auto"/>
        <w:bottom w:val="none" w:sz="0" w:space="0" w:color="auto"/>
        <w:right w:val="none" w:sz="0" w:space="0" w:color="auto"/>
      </w:divBdr>
    </w:div>
    <w:div w:id="1645039106">
      <w:bodyDiv w:val="1"/>
      <w:marLeft w:val="0"/>
      <w:marRight w:val="0"/>
      <w:marTop w:val="0"/>
      <w:marBottom w:val="0"/>
      <w:divBdr>
        <w:top w:val="none" w:sz="0" w:space="0" w:color="auto"/>
        <w:left w:val="none" w:sz="0" w:space="0" w:color="auto"/>
        <w:bottom w:val="none" w:sz="0" w:space="0" w:color="auto"/>
        <w:right w:val="none" w:sz="0" w:space="0" w:color="auto"/>
      </w:divBdr>
    </w:div>
    <w:div w:id="1697542987">
      <w:bodyDiv w:val="1"/>
      <w:marLeft w:val="0"/>
      <w:marRight w:val="0"/>
      <w:marTop w:val="0"/>
      <w:marBottom w:val="0"/>
      <w:divBdr>
        <w:top w:val="none" w:sz="0" w:space="0" w:color="auto"/>
        <w:left w:val="none" w:sz="0" w:space="0" w:color="auto"/>
        <w:bottom w:val="none" w:sz="0" w:space="0" w:color="auto"/>
        <w:right w:val="none" w:sz="0" w:space="0" w:color="auto"/>
      </w:divBdr>
    </w:div>
    <w:div w:id="1733886828">
      <w:bodyDiv w:val="1"/>
      <w:marLeft w:val="0"/>
      <w:marRight w:val="0"/>
      <w:marTop w:val="0"/>
      <w:marBottom w:val="0"/>
      <w:divBdr>
        <w:top w:val="none" w:sz="0" w:space="0" w:color="auto"/>
        <w:left w:val="none" w:sz="0" w:space="0" w:color="auto"/>
        <w:bottom w:val="none" w:sz="0" w:space="0" w:color="auto"/>
        <w:right w:val="none" w:sz="0" w:space="0" w:color="auto"/>
      </w:divBdr>
    </w:div>
    <w:div w:id="1800683580">
      <w:bodyDiv w:val="1"/>
      <w:marLeft w:val="0"/>
      <w:marRight w:val="0"/>
      <w:marTop w:val="0"/>
      <w:marBottom w:val="0"/>
      <w:divBdr>
        <w:top w:val="none" w:sz="0" w:space="0" w:color="auto"/>
        <w:left w:val="none" w:sz="0" w:space="0" w:color="auto"/>
        <w:bottom w:val="none" w:sz="0" w:space="0" w:color="auto"/>
        <w:right w:val="none" w:sz="0" w:space="0" w:color="auto"/>
      </w:divBdr>
    </w:div>
    <w:div w:id="1807166405">
      <w:bodyDiv w:val="1"/>
      <w:marLeft w:val="0"/>
      <w:marRight w:val="0"/>
      <w:marTop w:val="0"/>
      <w:marBottom w:val="0"/>
      <w:divBdr>
        <w:top w:val="none" w:sz="0" w:space="0" w:color="auto"/>
        <w:left w:val="none" w:sz="0" w:space="0" w:color="auto"/>
        <w:bottom w:val="none" w:sz="0" w:space="0" w:color="auto"/>
        <w:right w:val="none" w:sz="0" w:space="0" w:color="auto"/>
      </w:divBdr>
    </w:div>
    <w:div w:id="1826361644">
      <w:bodyDiv w:val="1"/>
      <w:marLeft w:val="0"/>
      <w:marRight w:val="0"/>
      <w:marTop w:val="0"/>
      <w:marBottom w:val="0"/>
      <w:divBdr>
        <w:top w:val="none" w:sz="0" w:space="0" w:color="auto"/>
        <w:left w:val="none" w:sz="0" w:space="0" w:color="auto"/>
        <w:bottom w:val="none" w:sz="0" w:space="0" w:color="auto"/>
        <w:right w:val="none" w:sz="0" w:space="0" w:color="auto"/>
      </w:divBdr>
    </w:div>
    <w:div w:id="1850951212">
      <w:bodyDiv w:val="1"/>
      <w:marLeft w:val="0"/>
      <w:marRight w:val="0"/>
      <w:marTop w:val="0"/>
      <w:marBottom w:val="0"/>
      <w:divBdr>
        <w:top w:val="none" w:sz="0" w:space="0" w:color="auto"/>
        <w:left w:val="none" w:sz="0" w:space="0" w:color="auto"/>
        <w:bottom w:val="none" w:sz="0" w:space="0" w:color="auto"/>
        <w:right w:val="none" w:sz="0" w:space="0" w:color="auto"/>
      </w:divBdr>
    </w:div>
    <w:div w:id="206474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1.png"/><Relationship Id="rId1" Type="http://schemas.openxmlformats.org/officeDocument/2006/relationships/image" Target="media/image2.jpeg"/><Relationship Id="rId4"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2890</Words>
  <Characters>15899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dc:creator>
  <cp:keywords/>
  <dc:description/>
  <cp:lastModifiedBy>Luciano Núñez</cp:lastModifiedBy>
  <cp:revision>2</cp:revision>
  <cp:lastPrinted>2021-05-20T17:23:00Z</cp:lastPrinted>
  <dcterms:created xsi:type="dcterms:W3CDTF">2021-05-21T00:14:00Z</dcterms:created>
  <dcterms:modified xsi:type="dcterms:W3CDTF">2021-05-21T00:14:00Z</dcterms:modified>
</cp:coreProperties>
</file>